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0C" w:rsidRDefault="0041010C" w:rsidP="0043040D"/>
    <w:p w:rsidR="0041010C" w:rsidRDefault="0041010C" w:rsidP="0041010C">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w:t>
      </w:r>
      <w:r w:rsidR="004E5176">
        <w:rPr>
          <w:rFonts w:eastAsia="Times New Roman" w:cs="Helvetica"/>
          <w:b/>
          <w:bCs/>
          <w:sz w:val="28"/>
          <w:szCs w:val="28"/>
          <w:lang w:val="en-US" w:eastAsia="en-GB"/>
        </w:rPr>
        <w:t>IL PREMIUM FUNDING (PPF) 2020-21</w:t>
      </w:r>
    </w:p>
    <w:p w:rsidR="0041010C" w:rsidRDefault="0041010C" w:rsidP="0041010C">
      <w:pPr>
        <w:spacing w:after="0" w:line="360" w:lineRule="atLeast"/>
        <w:jc w:val="center"/>
        <w:rPr>
          <w:rFonts w:eastAsia="Times New Roman" w:cs="Helvetica"/>
          <w:b/>
          <w:bCs/>
          <w:sz w:val="28"/>
          <w:szCs w:val="28"/>
          <w:lang w:val="en-US" w:eastAsia="en-GB"/>
        </w:rPr>
      </w:pPr>
    </w:p>
    <w:p w:rsidR="0041010C" w:rsidRPr="007D2E73" w:rsidRDefault="00793440" w:rsidP="0041010C">
      <w:pPr>
        <w:spacing w:after="0" w:line="360" w:lineRule="atLeast"/>
        <w:rPr>
          <w:rFonts w:eastAsia="Times New Roman" w:cs="Helvetica"/>
          <w:bCs/>
          <w:lang w:val="en-US" w:eastAsia="en-GB"/>
        </w:rPr>
      </w:pPr>
      <w:r>
        <w:rPr>
          <w:rFonts w:eastAsia="Times New Roman" w:cs="Helvetica"/>
          <w:bCs/>
          <w:lang w:val="en-US" w:eastAsia="en-GB"/>
        </w:rPr>
        <w:t xml:space="preserve">Stony Dean School uses specific on-going </w:t>
      </w:r>
      <w:r w:rsidR="0041010C" w:rsidRPr="007D2E73">
        <w:rPr>
          <w:rFonts w:eastAsia="Times New Roman" w:cs="Helvetica"/>
          <w:bCs/>
          <w:lang w:val="en-US" w:eastAsia="en-GB"/>
        </w:rPr>
        <w:t xml:space="preserve">initiatives </w:t>
      </w:r>
      <w:r w:rsidR="0041010C">
        <w:rPr>
          <w:rFonts w:eastAsia="Times New Roman" w:cs="Helvetica"/>
          <w:bCs/>
          <w:lang w:val="en-US" w:eastAsia="en-GB"/>
        </w:rPr>
        <w:t xml:space="preserve">every </w:t>
      </w:r>
      <w:r>
        <w:rPr>
          <w:rFonts w:eastAsia="Times New Roman" w:cs="Helvetica"/>
          <w:bCs/>
          <w:lang w:val="en-US" w:eastAsia="en-GB"/>
        </w:rPr>
        <w:t xml:space="preserve">academic </w:t>
      </w:r>
      <w:r w:rsidR="0041010C">
        <w:rPr>
          <w:rFonts w:eastAsia="Times New Roman" w:cs="Helvetica"/>
          <w:bCs/>
          <w:lang w:val="en-US" w:eastAsia="en-GB"/>
        </w:rPr>
        <w:t>year to</w:t>
      </w:r>
      <w:r w:rsidR="0041010C"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w:t>
      </w:r>
      <w:r>
        <w:rPr>
          <w:rFonts w:eastAsia="Times New Roman" w:cs="Helvetica"/>
          <w:bCs/>
          <w:lang w:val="en-US" w:eastAsia="en-GB"/>
        </w:rPr>
        <w:t>pil premium pupils</w:t>
      </w:r>
      <w:r w:rsidR="0041010C" w:rsidRPr="007D2E73">
        <w:rPr>
          <w:rFonts w:eastAsia="Times New Roman" w:cs="Helvetica"/>
          <w:bCs/>
          <w:lang w:val="en-US" w:eastAsia="en-GB"/>
        </w:rPr>
        <w:t>.</w:t>
      </w:r>
      <w:r>
        <w:rPr>
          <w:rFonts w:eastAsia="Times New Roman" w:cs="Helvetica"/>
          <w:bCs/>
          <w:lang w:val="en-US" w:eastAsia="en-GB"/>
        </w:rPr>
        <w:t xml:space="preserve"> Due to the recent pandemic COVID-19 some of these initiatives will be adapted and bespoke to pupils depending on government guidelines for health and safety during the pandemic and the use of specific ‘bubbles’ around the school. </w:t>
      </w:r>
    </w:p>
    <w:p w:rsidR="0041010C" w:rsidRPr="007D2E73" w:rsidRDefault="0041010C" w:rsidP="0041010C">
      <w:pPr>
        <w:spacing w:after="0" w:line="360" w:lineRule="atLeast"/>
        <w:rPr>
          <w:rFonts w:eastAsia="Times New Roman" w:cs="Helvetica"/>
          <w:lang w:val="en-US" w:eastAsia="en-GB"/>
        </w:rPr>
      </w:pPr>
    </w:p>
    <w:p w:rsidR="0041010C" w:rsidRDefault="0041010C" w:rsidP="0041010C">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640"/>
      </w:tblGrid>
      <w:tr w:rsidR="0041010C" w:rsidRPr="006B76B8" w:rsidTr="004768B0">
        <w:tc>
          <w:tcPr>
            <w:tcW w:w="231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t>Cost</w:t>
            </w:r>
            <w:r w:rsidR="00292F11">
              <w:rPr>
                <w:rFonts w:eastAsia="Times New Roman" w:cs="Helvetica"/>
                <w:lang w:val="en-US" w:eastAsia="en-GB"/>
              </w:rPr>
              <w:t xml:space="preserve"> (estimated cost at beginning of year)</w:t>
            </w:r>
          </w:p>
          <w:p w:rsidR="00292F11" w:rsidRPr="006B76B8" w:rsidRDefault="00292F11" w:rsidP="004768B0">
            <w:pPr>
              <w:spacing w:line="360" w:lineRule="atLeast"/>
              <w:rPr>
                <w:rFonts w:eastAsia="Times New Roman" w:cs="Helvetica"/>
                <w:lang w:val="en-US" w:eastAsia="en-GB"/>
              </w:rPr>
            </w:pPr>
            <w:r w:rsidRPr="00292F11">
              <w:rPr>
                <w:rFonts w:eastAsia="Times New Roman" w:cs="Helvetica"/>
                <w:color w:val="0070C0"/>
                <w:lang w:val="en-US" w:eastAsia="en-GB"/>
              </w:rPr>
              <w:t>Cost</w:t>
            </w:r>
            <w:r>
              <w:rPr>
                <w:rFonts w:eastAsia="Times New Roman" w:cs="Helvetica"/>
                <w:color w:val="0070C0"/>
                <w:lang w:val="en-US" w:eastAsia="en-GB"/>
              </w:rPr>
              <w:t xml:space="preserve"> (actual cost)</w:t>
            </w:r>
          </w:p>
        </w:tc>
      </w:tr>
      <w:tr w:rsidR="0041010C" w:rsidRPr="006B76B8" w:rsidTr="004768B0">
        <w:trPr>
          <w:trHeight w:val="1934"/>
        </w:trPr>
        <w:tc>
          <w:tcPr>
            <w:tcW w:w="2310" w:type="dxa"/>
          </w:tcPr>
          <w:p w:rsidR="00292F11" w:rsidRDefault="0041010C" w:rsidP="00292F11">
            <w:pPr>
              <w:spacing w:line="360" w:lineRule="atLeast"/>
              <w:rPr>
                <w:rFonts w:eastAsia="Times New Roman" w:cs="Helvetica"/>
                <w:lang w:eastAsia="en-GB"/>
              </w:rPr>
            </w:pPr>
            <w:r w:rsidRPr="006B76B8">
              <w:rPr>
                <w:rFonts w:eastAsia="Times New Roman" w:cs="Helvetica"/>
                <w:lang w:eastAsia="en-GB"/>
              </w:rPr>
              <w:t>Catch-up Literacy programmes or 1-1 intervention</w:t>
            </w:r>
            <w:r w:rsidR="00292F11">
              <w:rPr>
                <w:rFonts w:eastAsia="Times New Roman" w:cs="Helvetica"/>
                <w:lang w:eastAsia="en-GB"/>
              </w:rPr>
              <w:t xml:space="preserve"> including C-Pen (scanning text  to audio device)</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292F11" w:rsidRDefault="00292F11" w:rsidP="004768B0">
            <w:pPr>
              <w:spacing w:line="360" w:lineRule="atLeast"/>
              <w:rPr>
                <w:rFonts w:eastAsia="Times New Roman" w:cs="Helvetica"/>
                <w:lang w:eastAsia="en-GB"/>
              </w:rPr>
            </w:pPr>
          </w:p>
          <w:p w:rsidR="00292F11" w:rsidRDefault="00292F11"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t>Decoding programme/ additional literacy programme</w:t>
            </w:r>
          </w:p>
          <w:p w:rsidR="0041010C" w:rsidRPr="006B76B8" w:rsidRDefault="0041010C" w:rsidP="004768B0">
            <w:pPr>
              <w:spacing w:line="360" w:lineRule="atLeast"/>
              <w:rPr>
                <w:rFonts w:eastAsia="Times New Roman" w:cs="Helvetica"/>
                <w:lang w:eastAsia="en-GB"/>
              </w:rPr>
            </w:pPr>
          </w:p>
        </w:tc>
        <w:tc>
          <w:tcPr>
            <w:tcW w:w="6190" w:type="dxa"/>
          </w:tcPr>
          <w:p w:rsidR="00292F11" w:rsidRDefault="0041010C" w:rsidP="00292F11">
            <w:pPr>
              <w:spacing w:line="360" w:lineRule="atLeast"/>
              <w:rPr>
                <w:rFonts w:eastAsia="Times New Roman" w:cs="Helvetica"/>
                <w:lang w:eastAsia="en-GB"/>
              </w:rPr>
            </w:pPr>
            <w:r>
              <w:rPr>
                <w:rFonts w:eastAsia="Times New Roman" w:cs="Helvetica"/>
                <w:lang w:eastAsia="en-GB"/>
              </w:rPr>
              <w:lastRenderedPageBreak/>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w:t>
            </w:r>
            <w:r w:rsidR="00292F11">
              <w:rPr>
                <w:rFonts w:eastAsia="Times New Roman" w:cs="Helvetica"/>
                <w:lang w:eastAsia="en-GB"/>
              </w:rPr>
              <w:t>C Pen- Specific electronic devices and software to support access to the curriculum; deepening communicative ability where standard intervention have had less impact.</w:t>
            </w:r>
            <w:r w:rsidR="00292F11" w:rsidRPr="006B76B8">
              <w:rPr>
                <w:rFonts w:eastAsia="Times New Roman" w:cs="Helvetica"/>
                <w:lang w:eastAsia="en-GB"/>
              </w:rPr>
              <w:t xml:space="preserve"> </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lastRenderedPageBreak/>
              <w:t>Increase in literacy grades, attitude within the subject and increase in self-confidence. Improvement of behavior reports within subject.</w:t>
            </w:r>
            <w:r>
              <w:rPr>
                <w:rFonts w:eastAsia="Times New Roman" w:cs="Helvetica"/>
                <w:lang w:val="en-US" w:eastAsia="en-GB"/>
              </w:rPr>
              <w:t xml:space="preserve"> Catch-Up tracking showing progress.</w:t>
            </w:r>
          </w:p>
          <w:p w:rsidR="00292F11" w:rsidRDefault="00292F11" w:rsidP="00292F11">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41010C" w:rsidRDefault="0041010C" w:rsidP="004768B0">
            <w:pPr>
              <w:spacing w:line="360" w:lineRule="atLeast"/>
              <w:rPr>
                <w:rFonts w:eastAsia="Times New Roman" w:cs="Helvetica"/>
                <w:lang w:val="en-US" w:eastAsia="en-GB"/>
              </w:rPr>
            </w:pPr>
          </w:p>
          <w:p w:rsidR="00292F11" w:rsidRDefault="00292F11" w:rsidP="004768B0">
            <w:pPr>
              <w:spacing w:line="360" w:lineRule="atLeast"/>
              <w:rPr>
                <w:rFonts w:eastAsia="Times New Roman" w:cs="Helvetica"/>
                <w:lang w:val="en-US" w:eastAsia="en-GB"/>
              </w:rPr>
            </w:pPr>
          </w:p>
          <w:p w:rsidR="00292F11" w:rsidRDefault="00292F11"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p>
          <w:p w:rsidR="0041010C" w:rsidRPr="006B76B8" w:rsidRDefault="0041010C" w:rsidP="004768B0">
            <w:pPr>
              <w:spacing w:line="360" w:lineRule="atLeast"/>
              <w:rPr>
                <w:rFonts w:eastAsia="Times New Roman" w:cs="Helvetica"/>
                <w:lang w:val="en-US" w:eastAsia="en-GB"/>
              </w:rPr>
            </w:pPr>
            <w:r>
              <w:rPr>
                <w:rFonts w:eastAsia="Times New Roman" w:cs="Helvetica"/>
                <w:lang w:val="en-US" w:eastAsia="en-GB"/>
              </w:rPr>
              <w:t>Increase in attainment levels and progress.</w:t>
            </w:r>
          </w:p>
        </w:tc>
        <w:tc>
          <w:tcPr>
            <w:tcW w:w="1418" w:type="dxa"/>
          </w:tcPr>
          <w:p w:rsidR="00292F11" w:rsidRPr="00292F11" w:rsidRDefault="00A0707E" w:rsidP="004768B0">
            <w:pPr>
              <w:spacing w:line="360" w:lineRule="atLeast"/>
              <w:rPr>
                <w:rFonts w:eastAsia="Times New Roman" w:cs="Helvetica"/>
                <w:lang w:val="en-US" w:eastAsia="en-GB"/>
              </w:rPr>
            </w:pPr>
            <w:r>
              <w:rPr>
                <w:rFonts w:eastAsia="Times New Roman" w:cs="Helvetica"/>
                <w:lang w:val="en-US" w:eastAsia="en-GB"/>
              </w:rPr>
              <w:lastRenderedPageBreak/>
              <w:t>£3240</w:t>
            </w:r>
            <w:r w:rsidR="00292F11">
              <w:rPr>
                <w:rFonts w:eastAsia="Times New Roman" w:cs="Helvetica"/>
                <w:lang w:val="en-US" w:eastAsia="en-GB"/>
              </w:rPr>
              <w:t>/</w:t>
            </w:r>
            <w:r w:rsidR="00292F11" w:rsidRPr="00292F11">
              <w:rPr>
                <w:rFonts w:eastAsia="Times New Roman" w:cs="Helvetica"/>
                <w:color w:val="0070C0"/>
                <w:lang w:val="en-US" w:eastAsia="en-GB"/>
              </w:rPr>
              <w:t>£3600</w:t>
            </w: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292F11" w:rsidRDefault="00292F11" w:rsidP="004768B0">
            <w:pPr>
              <w:spacing w:line="360" w:lineRule="atLeast"/>
              <w:rPr>
                <w:rFonts w:eastAsia="Times New Roman" w:cs="Helvetica"/>
                <w:lang w:val="en-US" w:eastAsia="en-GB"/>
              </w:rPr>
            </w:pPr>
          </w:p>
          <w:p w:rsidR="00292F11" w:rsidRDefault="00292F11"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r>
              <w:rPr>
                <w:rFonts w:eastAsia="Times New Roman" w:cs="Helvetica"/>
                <w:lang w:val="en-US" w:eastAsia="en-GB"/>
              </w:rPr>
              <w:lastRenderedPageBreak/>
              <w:t>£1700</w:t>
            </w:r>
            <w:r w:rsidR="00292F11">
              <w:rPr>
                <w:rFonts w:eastAsia="Times New Roman" w:cs="Helvetica"/>
                <w:lang w:val="en-US" w:eastAsia="en-GB"/>
              </w:rPr>
              <w:t>/</w:t>
            </w:r>
            <w:r w:rsidR="00292F11" w:rsidRPr="00292F11">
              <w:rPr>
                <w:rFonts w:eastAsia="Times New Roman" w:cs="Helvetica"/>
                <w:color w:val="0070C0"/>
                <w:lang w:val="en-US" w:eastAsia="en-GB"/>
              </w:rPr>
              <w:t>£1800</w:t>
            </w: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Pr="006B76B8" w:rsidRDefault="00A0707E" w:rsidP="004768B0">
            <w:pPr>
              <w:spacing w:line="360" w:lineRule="atLeast"/>
              <w:rPr>
                <w:rFonts w:eastAsia="Times New Roman" w:cs="Helvetica"/>
                <w:lang w:val="en-US" w:eastAsia="en-GB"/>
              </w:rPr>
            </w:pPr>
            <w:r>
              <w:rPr>
                <w:rFonts w:eastAsia="Times New Roman" w:cs="Helvetica"/>
                <w:lang w:val="en-US" w:eastAsia="en-GB"/>
              </w:rPr>
              <w:t>£200</w:t>
            </w:r>
            <w:r w:rsidR="003432FA">
              <w:rPr>
                <w:rFonts w:eastAsia="Times New Roman" w:cs="Helvetica"/>
                <w:lang w:val="en-US" w:eastAsia="en-GB"/>
              </w:rPr>
              <w:t xml:space="preserve">/ </w:t>
            </w:r>
            <w:r w:rsidR="003432FA" w:rsidRPr="003432FA">
              <w:rPr>
                <w:rFonts w:eastAsia="Times New Roman" w:cs="Helvetica"/>
                <w:color w:val="0070C0"/>
                <w:lang w:val="en-US" w:eastAsia="en-GB"/>
              </w:rPr>
              <w:t>£200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£336</w:t>
            </w:r>
            <w:r w:rsidR="003432FA">
              <w:rPr>
                <w:rFonts w:eastAsia="Times New Roman" w:cs="Helvetica"/>
                <w:lang w:val="en-US" w:eastAsia="en-GB"/>
              </w:rPr>
              <w:t xml:space="preserve">/ </w:t>
            </w:r>
            <w:r w:rsidR="003432FA" w:rsidRPr="003432FA">
              <w:rPr>
                <w:rFonts w:eastAsia="Times New Roman" w:cs="Helvetica"/>
                <w:color w:val="0070C0"/>
                <w:lang w:val="en-US" w:eastAsia="en-GB"/>
              </w:rPr>
              <w:t>£336</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Additional ICT use</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41010C" w:rsidRPr="006B76B8" w:rsidRDefault="00292F11" w:rsidP="004768B0">
            <w:pPr>
              <w:spacing w:line="360" w:lineRule="atLeast"/>
              <w:rPr>
                <w:rFonts w:eastAsia="Times New Roman" w:cs="Helvetica"/>
                <w:lang w:val="en-US" w:eastAsia="en-GB"/>
              </w:rPr>
            </w:pPr>
            <w:r>
              <w:rPr>
                <w:rFonts w:eastAsia="Times New Roman" w:cs="Helvetica"/>
                <w:lang w:val="en-US" w:eastAsia="en-GB"/>
              </w:rPr>
              <w:t>£</w:t>
            </w:r>
            <w:r w:rsidR="00A0707E">
              <w:rPr>
                <w:rFonts w:eastAsia="Times New Roman" w:cs="Helvetica"/>
                <w:lang w:val="en-US" w:eastAsia="en-GB"/>
              </w:rPr>
              <w:t>3400</w:t>
            </w:r>
            <w:r w:rsidR="003432FA">
              <w:rPr>
                <w:rFonts w:eastAsia="Times New Roman" w:cs="Helvetica"/>
                <w:lang w:val="en-US" w:eastAsia="en-GB"/>
              </w:rPr>
              <w:t xml:space="preserve">/ </w:t>
            </w:r>
            <w:r w:rsidR="003432FA">
              <w:rPr>
                <w:rFonts w:eastAsia="Times New Roman" w:cs="Helvetica"/>
                <w:color w:val="0070C0"/>
                <w:lang w:val="en-US" w:eastAsia="en-GB"/>
              </w:rPr>
              <w:t>£36</w:t>
            </w:r>
            <w:r w:rsidR="003432FA" w:rsidRPr="003432FA">
              <w:rPr>
                <w:rFonts w:eastAsia="Times New Roman" w:cs="Helvetica"/>
                <w:color w:val="0070C0"/>
                <w:lang w:val="en-US" w:eastAsia="en-GB"/>
              </w:rPr>
              <w:t>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 SALT interventions</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t> </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 xml:space="preserve">The delivery of extra SALT groups/support allows our students to make faster progress than they would if this resource was funded at the expected level. </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£55300</w:t>
            </w:r>
            <w:r w:rsidR="003432FA">
              <w:rPr>
                <w:rFonts w:eastAsia="Times New Roman" w:cs="Helvetica"/>
                <w:lang w:val="en-US" w:eastAsia="en-GB"/>
              </w:rPr>
              <w:t>/</w:t>
            </w:r>
            <w:r w:rsidR="003432FA" w:rsidRPr="003432FA">
              <w:rPr>
                <w:rFonts w:eastAsia="Times New Roman" w:cs="Helvetica"/>
                <w:color w:val="0070C0"/>
                <w:lang w:val="en-US" w:eastAsia="en-GB"/>
              </w:rPr>
              <w:t>£58500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Bespoke support to provide access to the school</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£13600</w:t>
            </w:r>
            <w:r w:rsidR="003432FA">
              <w:rPr>
                <w:rFonts w:eastAsia="Times New Roman" w:cs="Helvetica"/>
                <w:lang w:val="en-US" w:eastAsia="en-GB"/>
              </w:rPr>
              <w:t xml:space="preserve">/ </w:t>
            </w:r>
            <w:r w:rsidR="003432FA" w:rsidRPr="003432FA">
              <w:rPr>
                <w:rFonts w:eastAsia="Times New Roman" w:cs="Helvetica"/>
                <w:color w:val="0070C0"/>
                <w:lang w:val="en-US" w:eastAsia="en-GB"/>
              </w:rPr>
              <w:t>£14500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Supported internship programme</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£1575</w:t>
            </w:r>
            <w:r w:rsidR="003432FA">
              <w:rPr>
                <w:rFonts w:eastAsia="Times New Roman" w:cs="Helvetica"/>
                <w:lang w:val="en-US" w:eastAsia="en-GB"/>
              </w:rPr>
              <w:t>/</w:t>
            </w:r>
            <w:r w:rsidR="003432FA" w:rsidRPr="003432FA">
              <w:rPr>
                <w:rFonts w:eastAsia="Times New Roman" w:cs="Helvetica"/>
                <w:color w:val="0070C0"/>
                <w:lang w:val="en-US" w:eastAsia="en-GB"/>
              </w:rPr>
              <w:t>£1575</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Mentoring/Talk time</w:t>
            </w:r>
            <w:r w:rsidR="00C765FA">
              <w:rPr>
                <w:rFonts w:eastAsia="Times New Roman" w:cs="Helvetica"/>
                <w:lang w:eastAsia="en-GB"/>
              </w:rPr>
              <w:t xml:space="preserve">/ </w:t>
            </w:r>
            <w:r w:rsidRPr="006B76B8">
              <w:rPr>
                <w:rFonts w:eastAsia="Times New Roman" w:cs="Helvetica"/>
                <w:lang w:eastAsia="en-GB"/>
              </w:rPr>
              <w:t>Targeted behaviour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This is a vital area of support for our scho</w:t>
            </w:r>
            <w:r w:rsidR="00B50C55">
              <w:rPr>
                <w:rFonts w:eastAsia="Times New Roman" w:cs="Helvetica"/>
                <w:lang w:eastAsia="en-GB"/>
              </w:rPr>
              <w:t>ol. We have some</w:t>
            </w:r>
            <w:bookmarkStart w:id="0" w:name="_GoBack"/>
            <w:bookmarkEnd w:id="0"/>
            <w:r w:rsidRPr="006B76B8">
              <w:rPr>
                <w:rFonts w:eastAsia="Times New Roman" w:cs="Helvetica"/>
                <w:lang w:eastAsia="en-GB"/>
              </w:rPr>
              <w:t xml:space="preserve"> students with social, emotional and/or behaviour needs and a space to talk and be supported allows them to focus when they </w:t>
            </w:r>
            <w:r w:rsidRPr="006B76B8">
              <w:rPr>
                <w:rFonts w:eastAsia="Times New Roman" w:cs="Helvetica"/>
                <w:lang w:eastAsia="en-GB"/>
              </w:rPr>
              <w:lastRenderedPageBreak/>
              <w:t xml:space="preserve">are in a learning environment. It also reduces anxieties and helps students feel safe. </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lastRenderedPageBreak/>
              <w:t>More social interaction, positive relationships forming, less behavior reports and increase in attainment.</w:t>
            </w:r>
          </w:p>
        </w:tc>
        <w:tc>
          <w:tcPr>
            <w:tcW w:w="1418" w:type="dxa"/>
          </w:tcPr>
          <w:p w:rsidR="00A73210" w:rsidRDefault="00A0707E" w:rsidP="004768B0">
            <w:pPr>
              <w:spacing w:line="360" w:lineRule="atLeast"/>
              <w:rPr>
                <w:rFonts w:eastAsia="Times New Roman" w:cs="Helvetica"/>
                <w:color w:val="0070C0"/>
                <w:lang w:val="en-US" w:eastAsia="en-GB"/>
              </w:rPr>
            </w:pPr>
            <w:r>
              <w:rPr>
                <w:rFonts w:eastAsia="Times New Roman" w:cs="Helvetica"/>
                <w:lang w:val="en-US" w:eastAsia="en-GB"/>
              </w:rPr>
              <w:t>£9600</w:t>
            </w:r>
            <w:r w:rsidR="00150601">
              <w:rPr>
                <w:rFonts w:eastAsia="Times New Roman" w:cs="Helvetica"/>
                <w:lang w:val="en-US" w:eastAsia="en-GB"/>
              </w:rPr>
              <w:t>/</w:t>
            </w:r>
            <w:r w:rsidR="00150601" w:rsidRPr="00150601">
              <w:rPr>
                <w:rFonts w:eastAsia="Times New Roman" w:cs="Helvetica"/>
                <w:color w:val="0070C0"/>
                <w:lang w:val="en-US" w:eastAsia="en-GB"/>
              </w:rPr>
              <w:t>£12300</w:t>
            </w:r>
          </w:p>
          <w:p w:rsidR="00C765FA" w:rsidRPr="006B76B8" w:rsidRDefault="00C765FA" w:rsidP="004768B0">
            <w:pPr>
              <w:spacing w:line="360" w:lineRule="atLeast"/>
              <w:rPr>
                <w:rFonts w:eastAsia="Times New Roman" w:cs="Helvetica"/>
                <w:lang w:val="en-US" w:eastAsia="en-GB"/>
              </w:rPr>
            </w:pP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Personalised</w:t>
            </w:r>
            <w:r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£16618</w:t>
            </w:r>
            <w:r w:rsidR="00150601">
              <w:rPr>
                <w:rFonts w:eastAsia="Times New Roman" w:cs="Helvetica"/>
                <w:lang w:val="en-US" w:eastAsia="en-GB"/>
              </w:rPr>
              <w:t xml:space="preserve">/ </w:t>
            </w:r>
            <w:r w:rsidR="00150601" w:rsidRPr="00150601">
              <w:rPr>
                <w:rFonts w:eastAsia="Times New Roman" w:cs="Helvetica"/>
                <w:color w:val="0070C0"/>
                <w:lang w:val="en-US" w:eastAsia="en-GB"/>
              </w:rPr>
              <w:t>£18418</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LSA</w:t>
            </w:r>
            <w:r>
              <w:rPr>
                <w:rFonts w:eastAsia="Times New Roman" w:cs="Helvetica"/>
                <w:lang w:eastAsia="en-GB"/>
              </w:rPr>
              <w:t xml:space="preserve">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£3750</w:t>
            </w:r>
            <w:r w:rsidR="00150601">
              <w:rPr>
                <w:rFonts w:eastAsia="Times New Roman" w:cs="Helvetica"/>
                <w:lang w:val="en-US" w:eastAsia="en-GB"/>
              </w:rPr>
              <w:t xml:space="preserve">/ </w:t>
            </w:r>
            <w:r w:rsidR="00150601" w:rsidRPr="00150601">
              <w:rPr>
                <w:rFonts w:eastAsia="Times New Roman" w:cs="Helvetica"/>
                <w:color w:val="0070C0"/>
                <w:lang w:val="en-US" w:eastAsia="en-GB"/>
              </w:rPr>
              <w:t>£11250</w:t>
            </w:r>
          </w:p>
        </w:tc>
      </w:tr>
      <w:tr w:rsidR="0041010C" w:rsidRPr="006B76B8" w:rsidTr="004768B0">
        <w:tc>
          <w:tcPr>
            <w:tcW w:w="2310" w:type="dxa"/>
          </w:tcPr>
          <w:p w:rsidR="0041010C" w:rsidRPr="006B76B8" w:rsidRDefault="00A0707E" w:rsidP="004768B0">
            <w:pPr>
              <w:spacing w:line="360" w:lineRule="atLeast"/>
              <w:rPr>
                <w:rFonts w:eastAsia="Times New Roman" w:cs="Helvetica"/>
                <w:lang w:eastAsia="en-GB"/>
              </w:rPr>
            </w:pPr>
            <w:r>
              <w:rPr>
                <w:rFonts w:eastAsia="Times New Roman" w:cs="Helvetica"/>
                <w:lang w:eastAsia="en-GB"/>
              </w:rPr>
              <w:t>Therapeutic programmes include; equine, music, art therapy</w:t>
            </w:r>
          </w:p>
        </w:tc>
        <w:tc>
          <w:tcPr>
            <w:tcW w:w="6190" w:type="dxa"/>
          </w:tcPr>
          <w:p w:rsidR="0041010C" w:rsidRPr="006B76B8" w:rsidRDefault="0041010C" w:rsidP="004768B0">
            <w: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tc>
        <w:tc>
          <w:tcPr>
            <w:tcW w:w="5103" w:type="dxa"/>
          </w:tcPr>
          <w:p w:rsidR="0041010C" w:rsidRPr="006B76B8" w:rsidRDefault="0041010C" w:rsidP="004768B0">
            <w:pPr>
              <w:spacing w:line="360" w:lineRule="atLeast"/>
            </w:pPr>
            <w:r>
              <w:t xml:space="preserve">Personal development and reduced referrals; students more focused and engaged. </w:t>
            </w:r>
          </w:p>
        </w:tc>
        <w:tc>
          <w:tcPr>
            <w:tcW w:w="1418" w:type="dxa"/>
          </w:tcPr>
          <w:p w:rsidR="00A73210" w:rsidRPr="006B76B8" w:rsidRDefault="00A0707E" w:rsidP="004768B0">
            <w:pPr>
              <w:spacing w:line="360" w:lineRule="atLeast"/>
              <w:rPr>
                <w:rFonts w:eastAsia="Times New Roman" w:cs="Helvetica"/>
                <w:lang w:val="en-US" w:eastAsia="en-GB"/>
              </w:rPr>
            </w:pPr>
            <w:r>
              <w:rPr>
                <w:rFonts w:eastAsia="Times New Roman" w:cs="Helvetica"/>
                <w:lang w:val="en-US" w:eastAsia="en-GB"/>
              </w:rPr>
              <w:t>£4320</w:t>
            </w:r>
            <w:r w:rsidR="00150601">
              <w:rPr>
                <w:rFonts w:eastAsia="Times New Roman" w:cs="Helvetica"/>
                <w:lang w:val="en-US" w:eastAsia="en-GB"/>
              </w:rPr>
              <w:t>/</w:t>
            </w:r>
            <w:r w:rsidR="00150601" w:rsidRPr="00150601">
              <w:rPr>
                <w:rFonts w:eastAsia="Times New Roman" w:cs="Helvetica"/>
                <w:color w:val="0070C0"/>
                <w:lang w:val="en-US" w:eastAsia="en-GB"/>
              </w:rPr>
              <w:t>£4920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Staff training/ Specialist teaching strategies</w:t>
            </w:r>
          </w:p>
        </w:tc>
        <w:tc>
          <w:tcPr>
            <w:tcW w:w="6190" w:type="dxa"/>
          </w:tcPr>
          <w:p w:rsidR="0041010C" w:rsidRPr="006B76B8" w:rsidRDefault="0041010C" w:rsidP="004768B0">
            <w:r>
              <w:t>Training to be provided for staff implementing specific initiatives or delivering specialised programmes to ensure success.</w:t>
            </w:r>
          </w:p>
        </w:tc>
        <w:tc>
          <w:tcPr>
            <w:tcW w:w="5103" w:type="dxa"/>
          </w:tcPr>
          <w:p w:rsidR="0041010C" w:rsidRPr="006B76B8" w:rsidRDefault="0041010C" w:rsidP="004768B0">
            <w:pPr>
              <w:spacing w:line="360" w:lineRule="atLeast"/>
            </w:pPr>
            <w:r>
              <w:t>Improvement in attainment levels and development of student social, emotional well-being.</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£3808</w:t>
            </w:r>
            <w:r w:rsidR="00150601">
              <w:rPr>
                <w:rFonts w:eastAsia="Times New Roman" w:cs="Helvetica"/>
                <w:lang w:val="en-US" w:eastAsia="en-GB"/>
              </w:rPr>
              <w:t xml:space="preserve">/ </w:t>
            </w:r>
            <w:r w:rsidR="005174CE">
              <w:rPr>
                <w:rFonts w:eastAsia="Times New Roman" w:cs="Helvetica"/>
                <w:color w:val="0070C0"/>
                <w:lang w:val="en-US" w:eastAsia="en-GB"/>
              </w:rPr>
              <w:t>£4107</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6190" w:type="dxa"/>
          </w:tcPr>
          <w:p w:rsidR="0041010C" w:rsidRPr="006B76B8" w:rsidRDefault="0041010C" w:rsidP="004768B0">
            <w:r w:rsidRPr="006B76B8">
              <w:t>To develop skills of particular interest of the student and promote a positive learning environment.</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41010C" w:rsidRPr="006B76B8" w:rsidRDefault="00794CC7" w:rsidP="004768B0">
            <w:pPr>
              <w:spacing w:line="360" w:lineRule="atLeast"/>
              <w:rPr>
                <w:rFonts w:eastAsia="Times New Roman" w:cs="Helvetica"/>
                <w:lang w:val="en-US" w:eastAsia="en-GB"/>
              </w:rPr>
            </w:pPr>
            <w:r>
              <w:rPr>
                <w:rFonts w:eastAsia="Times New Roman" w:cs="Helvetica"/>
                <w:lang w:val="en-US" w:eastAsia="en-GB"/>
              </w:rPr>
              <w:t>N/A at the moment</w:t>
            </w:r>
            <w:r w:rsidR="00150601">
              <w:rPr>
                <w:rFonts w:eastAsia="Times New Roman" w:cs="Helvetica"/>
                <w:lang w:val="en-US" w:eastAsia="en-GB"/>
              </w:rPr>
              <w:t xml:space="preserve">/ within alternative </w:t>
            </w:r>
            <w:r w:rsidR="00150601">
              <w:rPr>
                <w:rFonts w:eastAsia="Times New Roman" w:cs="Helvetica"/>
                <w:lang w:val="en-US" w:eastAsia="en-GB"/>
              </w:rPr>
              <w:lastRenderedPageBreak/>
              <w:t xml:space="preserve">curriculum </w:t>
            </w:r>
            <w:r w:rsidR="00150601" w:rsidRPr="00150601">
              <w:rPr>
                <w:rFonts w:eastAsia="Times New Roman" w:cs="Helvetica"/>
                <w:color w:val="0070C0"/>
                <w:lang w:val="en-US" w:eastAsia="en-GB"/>
              </w:rPr>
              <w:t>£895</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Food/diet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w:t>
            </w:r>
            <w:r w:rsidR="002312C2">
              <w:rPr>
                <w:rFonts w:eastAsia="Times New Roman" w:cs="Helvetica"/>
                <w:lang w:eastAsia="en-GB"/>
              </w:rPr>
              <w:t>s need support with their diets and ensuring they have a healthy meal.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 xml:space="preserve">Students putting on weight and/or maintaining weight. </w:t>
            </w:r>
            <w:r w:rsidR="00920E66">
              <w:rPr>
                <w:rFonts w:eastAsia="Times New Roman" w:cs="Helvetica"/>
                <w:lang w:val="en-US" w:eastAsia="en-GB"/>
              </w:rPr>
              <w:t>Improvement in physical health, awareness of how to eat healthy.</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£5133.60</w:t>
            </w:r>
            <w:r w:rsidR="005174CE">
              <w:rPr>
                <w:rFonts w:eastAsia="Times New Roman" w:cs="Helvetica"/>
                <w:lang w:val="en-US" w:eastAsia="en-GB"/>
              </w:rPr>
              <w:t xml:space="preserve">/ </w:t>
            </w:r>
            <w:r w:rsidR="005174CE" w:rsidRPr="005174CE">
              <w:rPr>
                <w:rFonts w:eastAsia="Times New Roman" w:cs="Helvetica"/>
                <w:color w:val="0070C0"/>
                <w:lang w:val="en-US" w:eastAsia="en-GB"/>
              </w:rPr>
              <w:t>£5411.60</w:t>
            </w:r>
          </w:p>
        </w:tc>
      </w:tr>
    </w:tbl>
    <w:p w:rsidR="0041010C" w:rsidRDefault="0041010C" w:rsidP="0041010C"/>
    <w:p w:rsidR="005174CE" w:rsidRDefault="0041010C" w:rsidP="00292F11">
      <w:pPr>
        <w:spacing w:after="0" w:line="240" w:lineRule="auto"/>
      </w:pPr>
      <w:r>
        <w:t>The amount of money intended</w:t>
      </w:r>
      <w:r w:rsidRPr="006B76B8">
        <w:t xml:space="preserve"> to be spent on PPF students by SDS</w:t>
      </w:r>
      <w:r w:rsidR="00893BEC">
        <w:t xml:space="preserve"> 2020-21</w:t>
      </w:r>
      <w:r w:rsidRPr="006B76B8">
        <w:t xml:space="preserve"> totals </w:t>
      </w:r>
      <w:r w:rsidR="00893BEC">
        <w:t xml:space="preserve">at </w:t>
      </w:r>
      <w:r w:rsidR="00F12CEE" w:rsidRPr="00F12CEE">
        <w:rPr>
          <w:rFonts w:ascii="Calibri" w:eastAsia="Times New Roman" w:hAnsi="Calibri" w:cs="Calibri"/>
          <w:color w:val="000000"/>
          <w:lang w:eastAsia="en-GB"/>
        </w:rPr>
        <w:t>£122,580.60</w:t>
      </w:r>
      <w:r w:rsidR="0096755C">
        <w:t xml:space="preserve"> which is an </w:t>
      </w:r>
      <w:r w:rsidR="00F12CEE" w:rsidRPr="00F12CEE">
        <w:t xml:space="preserve">overspend </w:t>
      </w:r>
      <w:r w:rsidR="00F12CEE">
        <w:t>£</w:t>
      </w:r>
      <w:r w:rsidR="00F12CEE" w:rsidRPr="00F12CEE">
        <w:rPr>
          <w:rFonts w:ascii="Calibri" w:eastAsia="Times New Roman" w:hAnsi="Calibri" w:cs="Calibri"/>
          <w:color w:val="000000"/>
          <w:lang w:eastAsia="en-GB"/>
        </w:rPr>
        <w:t>53</w:t>
      </w:r>
      <w:r w:rsidR="00241B9D">
        <w:rPr>
          <w:rFonts w:ascii="Calibri" w:eastAsia="Times New Roman" w:hAnsi="Calibri" w:cs="Calibri"/>
          <w:color w:val="000000"/>
          <w:lang w:eastAsia="en-GB"/>
        </w:rPr>
        <w:t>,</w:t>
      </w:r>
      <w:r w:rsidR="00F12CEE" w:rsidRPr="00F12CEE">
        <w:rPr>
          <w:rFonts w:ascii="Calibri" w:eastAsia="Times New Roman" w:hAnsi="Calibri" w:cs="Calibri"/>
          <w:color w:val="000000"/>
          <w:lang w:eastAsia="en-GB"/>
        </w:rPr>
        <w:t>205.6</w:t>
      </w:r>
      <w:r w:rsidR="00F12CEE">
        <w:rPr>
          <w:rFonts w:ascii="Calibri" w:eastAsia="Times New Roman" w:hAnsi="Calibri" w:cs="Calibri"/>
          <w:color w:val="000000"/>
          <w:lang w:eastAsia="en-GB"/>
        </w:rPr>
        <w:t xml:space="preserve">0 </w:t>
      </w:r>
      <w:r w:rsidRPr="006B76B8">
        <w:t>of the funding received by the school.</w:t>
      </w:r>
      <w:r w:rsidR="00292F11">
        <w:t xml:space="preserve"> </w:t>
      </w:r>
      <w:r w:rsidR="005174CE">
        <w:t xml:space="preserve">End of year calculation for each intervention is shown in </w:t>
      </w:r>
      <w:r w:rsidR="005174CE" w:rsidRPr="005174CE">
        <w:rPr>
          <w:color w:val="0070C0"/>
        </w:rPr>
        <w:t>blue</w:t>
      </w:r>
      <w:r w:rsidR="005174CE">
        <w:t>, more details on funding received and spent discussed at end of the document.</w:t>
      </w:r>
    </w:p>
    <w:p w:rsidR="005174CE" w:rsidRDefault="005174CE" w:rsidP="00292F11">
      <w:pPr>
        <w:spacing w:after="0" w:line="240" w:lineRule="auto"/>
      </w:pPr>
    </w:p>
    <w:p w:rsidR="0041010C" w:rsidRPr="00292F11" w:rsidRDefault="00292F11" w:rsidP="00292F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41010C">
        <w:t>For more information on the benefits and impacts of these therapies and research linked to the interventions and strategies please see the Key for PPF interventions document.</w:t>
      </w:r>
    </w:p>
    <w:p w:rsidR="00B47346" w:rsidRDefault="0041010C" w:rsidP="00B47346">
      <w:r>
        <w:t>All initiatives are reviewed termly with a final audit at the end of the academic year.</w:t>
      </w:r>
    </w:p>
    <w:p w:rsidR="00592D7F" w:rsidRPr="00592D7F" w:rsidRDefault="00592D7F" w:rsidP="00B47346">
      <w:pPr>
        <w:rPr>
          <w:b/>
          <w:u w:val="single"/>
        </w:rPr>
      </w:pPr>
      <w:r w:rsidRPr="00592D7F">
        <w:rPr>
          <w:b/>
          <w:u w:val="single"/>
        </w:rPr>
        <w:t>End of year review of strategies and impact:</w:t>
      </w:r>
    </w:p>
    <w:p w:rsidR="00D53C82" w:rsidRDefault="00AB590E" w:rsidP="00592D7F">
      <w:r>
        <w:t>Due to the continuous</w:t>
      </w:r>
      <w:r w:rsidR="00592D7F" w:rsidRPr="00D53C82">
        <w:t xml:space="preserve"> disruption to the academic year caused by the COVID-19 pandemic and subsequence lock down</w:t>
      </w:r>
      <w:r w:rsidR="00D53C82">
        <w:t>s. The SDS</w:t>
      </w:r>
      <w:r w:rsidR="00592D7F" w:rsidRPr="00D53C82">
        <w:t xml:space="preserve"> </w:t>
      </w:r>
      <w:r w:rsidR="00D53C82" w:rsidRPr="00D53C82">
        <w:t>strategies</w:t>
      </w:r>
      <w:r w:rsidR="00D53C82">
        <w:t xml:space="preserve"> mentioned for this year</w:t>
      </w:r>
      <w:r w:rsidR="00592D7F" w:rsidRPr="00D53C82">
        <w:t xml:space="preserve"> have </w:t>
      </w:r>
      <w:r>
        <w:t xml:space="preserve">not </w:t>
      </w:r>
      <w:r w:rsidR="00592D7F" w:rsidRPr="00D53C82">
        <w:t xml:space="preserve">been delivered for the </w:t>
      </w:r>
      <w:r w:rsidR="00D53C82" w:rsidRPr="00D53C82">
        <w:t>amount of time as a ‘normal’ academic year</w:t>
      </w:r>
      <w:r w:rsidR="00D53C82">
        <w:t xml:space="preserve"> or </w:t>
      </w:r>
      <w:r>
        <w:t xml:space="preserve">they </w:t>
      </w:r>
      <w:r w:rsidR="00D53C82">
        <w:t>may have been cancelled due to social distancing and other government guidelines</w:t>
      </w:r>
      <w:r>
        <w:t>. S</w:t>
      </w:r>
      <w:r w:rsidR="00D53C82" w:rsidRPr="00D53C82">
        <w:t>ome of these strategies would have been adapted to virtual attendance, smaller groups or</w:t>
      </w:r>
      <w:r w:rsidR="00D53C82">
        <w:t xml:space="preserve"> delivered</w:t>
      </w:r>
      <w:r w:rsidR="00D53C82" w:rsidRPr="00D53C82">
        <w:t xml:space="preserve"> within specified lessons or registration time.</w:t>
      </w:r>
      <w:r w:rsidR="00D53C82">
        <w:t xml:space="preserve">  In terms of academic progress, it is difficult to compare data for PPF pupils and Non-PPF pupils due to the impact of the pandemic on school teaching time, the decrease of face to face and kinaesthetic support from the teachers, which is very important to our pupils</w:t>
      </w:r>
      <w:r w:rsidR="003B44B7">
        <w:t xml:space="preserve"> and any issues with memory retention of particularly topics over the last year</w:t>
      </w:r>
      <w:r w:rsidR="00D53C82">
        <w:t>. However, the school has put academic strategie</w:t>
      </w:r>
      <w:r w:rsidR="003B44B7">
        <w:t>s in place that will be</w:t>
      </w:r>
      <w:r w:rsidR="00D53C82">
        <w:t xml:space="preserve"> </w:t>
      </w:r>
      <w:r w:rsidR="00D663EA">
        <w:t>ongoing</w:t>
      </w:r>
      <w:r w:rsidR="00D53C82">
        <w:t xml:space="preserve"> to the next academic year to help support the academic progress of our pupils. These strategies include; tutoring, reading programmes over zoom, extra support with subject specific teachers, summer school opportunities for our year 7s and adjusting curriculums for the next cycle.</w:t>
      </w:r>
    </w:p>
    <w:p w:rsidR="00D53C82" w:rsidRDefault="00BC7A2E" w:rsidP="00592D7F">
      <w:r>
        <w:t xml:space="preserve">The well-being of our pupils and staff has been a key priority over this pandemic, so there has been many </w:t>
      </w:r>
      <w:r w:rsidR="00C1270E">
        <w:t xml:space="preserve">adaptions to our timetable, curriculum and resources to ensure to promote our pupil </w:t>
      </w:r>
      <w:r w:rsidR="007B1717">
        <w:t>well-being whether</w:t>
      </w:r>
      <w:r w:rsidR="00C1270E">
        <w:t xml:space="preserve"> in school or home-learning.</w:t>
      </w:r>
      <w:r w:rsidR="00857E06">
        <w:t xml:space="preserve"> </w:t>
      </w:r>
      <w:r w:rsidR="008D0C32">
        <w:t xml:space="preserve">We have ensured that our disadvantaged pupils have access to a laptop or tablet to ensure they could access their online learning as well as their virtual registrations with their form tutors. </w:t>
      </w:r>
      <w:r w:rsidR="00857E06">
        <w:t>We have used many past</w:t>
      </w:r>
      <w:r w:rsidR="007B1717">
        <w:t>oral strategies with our pupil such as the use of</w:t>
      </w:r>
      <w:r w:rsidR="00857E06">
        <w:t xml:space="preserve"> zoom to support those at home who have been too anxious to attend school, this has helped to keep pupils in touch with their class and teachers. There are been more SALT strategies within registrations, where possible hands on</w:t>
      </w:r>
      <w:r w:rsidR="008D0C32">
        <w:t xml:space="preserve"> experience for topics to help memory retention of subjects and continuous assessment of both academic skills and </w:t>
      </w:r>
      <w:r w:rsidR="008D0C32">
        <w:lastRenderedPageBreak/>
        <w:t xml:space="preserve">social and interaction skills across the school to identify needs. </w:t>
      </w:r>
      <w:r w:rsidR="00D0640F">
        <w:t>There has been more staff specialist training for awareness of the impact of COVID-19 and our disadvantaged pupils and training</w:t>
      </w:r>
      <w:r w:rsidR="007B1717">
        <w:t xml:space="preserve"> on</w:t>
      </w:r>
      <w:r w:rsidR="00D0640F">
        <w:t xml:space="preserve"> well-being and different strategies to assist our pupils needs.</w:t>
      </w:r>
    </w:p>
    <w:p w:rsidR="00584397" w:rsidRDefault="007B1717" w:rsidP="00592D7F">
      <w:r>
        <w:t>The strategies and i</w:t>
      </w:r>
      <w:r w:rsidR="00584397">
        <w:t xml:space="preserve">nterventions this academic year has shown </w:t>
      </w:r>
      <w:r>
        <w:t xml:space="preserve">an </w:t>
      </w:r>
      <w:r w:rsidR="00584397">
        <w:t xml:space="preserve">improvement of social interactions, use and development </w:t>
      </w:r>
      <w:r w:rsidR="00D663EA">
        <w:t>of</w:t>
      </w:r>
      <w:r w:rsidR="00584397">
        <w:t xml:space="preserve"> coping </w:t>
      </w:r>
      <w:r w:rsidR="00D663EA">
        <w:t>strategies</w:t>
      </w:r>
      <w:r w:rsidR="00584397">
        <w:t xml:space="preserve"> by pupils, an increase in life skills and awareness of the world around them with linking of specific subject areas i.e. science, maths to life situations. Pupils have been more empathetic towards others </w:t>
      </w:r>
      <w:r w:rsidR="00D663EA">
        <w:t>and have coped to change and disruption to their learning with more ease than the previous year.</w:t>
      </w:r>
    </w:p>
    <w:p w:rsidR="00B25326" w:rsidRPr="00B25326" w:rsidRDefault="00584397" w:rsidP="00B25326">
      <w:pPr>
        <w:spacing w:after="0" w:line="240" w:lineRule="auto"/>
        <w:rPr>
          <w:rFonts w:ascii="Calibri" w:eastAsia="Times New Roman" w:hAnsi="Calibri" w:cs="Calibri"/>
          <w:color w:val="000000"/>
          <w:lang w:eastAsia="en-GB"/>
        </w:rPr>
      </w:pPr>
      <w:r w:rsidRPr="003D1B3E">
        <w:t xml:space="preserve">The </w:t>
      </w:r>
      <w:r w:rsidR="003D1B3E">
        <w:t xml:space="preserve">actual </w:t>
      </w:r>
      <w:r w:rsidR="003D1B3E" w:rsidRPr="003D1B3E">
        <w:t>amount</w:t>
      </w:r>
      <w:r w:rsidR="003D1B3E">
        <w:t xml:space="preserve"> </w:t>
      </w:r>
      <w:r w:rsidR="003D1B3E" w:rsidRPr="003D1B3E">
        <w:t>calculated</w:t>
      </w:r>
      <w:r w:rsidR="003D1B3E">
        <w:t xml:space="preserve"> and </w:t>
      </w:r>
      <w:r w:rsidRPr="003D1B3E">
        <w:t>spent for these interventions this academ</w:t>
      </w:r>
      <w:r w:rsidR="00820BA6" w:rsidRPr="003D1B3E">
        <w:t>ic year is estimated at £141,162.50 which is an over spend of £71,787.60.</w:t>
      </w:r>
    </w:p>
    <w:p w:rsidR="00584397" w:rsidRPr="00D53C82" w:rsidRDefault="00584397" w:rsidP="00592D7F"/>
    <w:p w:rsidR="007D2E73" w:rsidRPr="00B47346" w:rsidRDefault="007D2E73" w:rsidP="000907F8"/>
    <w:sectPr w:rsidR="007D2E73" w:rsidRP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B50C55">
          <w:rPr>
            <w:noProof/>
          </w:rPr>
          <w:t>4</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3230"/>
    <w:rsid w:val="00095B05"/>
    <w:rsid w:val="000A01B2"/>
    <w:rsid w:val="000B32D7"/>
    <w:rsid w:val="000C20DD"/>
    <w:rsid w:val="00101F1F"/>
    <w:rsid w:val="00107A1F"/>
    <w:rsid w:val="00150601"/>
    <w:rsid w:val="0015685E"/>
    <w:rsid w:val="0015703D"/>
    <w:rsid w:val="00174AE6"/>
    <w:rsid w:val="002017E7"/>
    <w:rsid w:val="00204666"/>
    <w:rsid w:val="0021134E"/>
    <w:rsid w:val="00212958"/>
    <w:rsid w:val="002312C2"/>
    <w:rsid w:val="00241B9D"/>
    <w:rsid w:val="00264499"/>
    <w:rsid w:val="00292F11"/>
    <w:rsid w:val="002A3B33"/>
    <w:rsid w:val="002B4AB4"/>
    <w:rsid w:val="002E3A92"/>
    <w:rsid w:val="00301CB8"/>
    <w:rsid w:val="003123FA"/>
    <w:rsid w:val="003432FA"/>
    <w:rsid w:val="00343F38"/>
    <w:rsid w:val="0034438F"/>
    <w:rsid w:val="00393794"/>
    <w:rsid w:val="003B44B7"/>
    <w:rsid w:val="003D1B3E"/>
    <w:rsid w:val="003F2BE2"/>
    <w:rsid w:val="0041010C"/>
    <w:rsid w:val="00425AFC"/>
    <w:rsid w:val="0043040D"/>
    <w:rsid w:val="00433EEA"/>
    <w:rsid w:val="0047016D"/>
    <w:rsid w:val="0047210E"/>
    <w:rsid w:val="004C4D7A"/>
    <w:rsid w:val="004D183A"/>
    <w:rsid w:val="004E5176"/>
    <w:rsid w:val="004E6A61"/>
    <w:rsid w:val="004F28D5"/>
    <w:rsid w:val="004F706F"/>
    <w:rsid w:val="00500816"/>
    <w:rsid w:val="00503F7C"/>
    <w:rsid w:val="005072A1"/>
    <w:rsid w:val="00514217"/>
    <w:rsid w:val="005174CE"/>
    <w:rsid w:val="0052080E"/>
    <w:rsid w:val="00523364"/>
    <w:rsid w:val="0054481A"/>
    <w:rsid w:val="0056444B"/>
    <w:rsid w:val="00582355"/>
    <w:rsid w:val="00584397"/>
    <w:rsid w:val="00592D7F"/>
    <w:rsid w:val="005E04CD"/>
    <w:rsid w:val="00614194"/>
    <w:rsid w:val="00654F87"/>
    <w:rsid w:val="006830DD"/>
    <w:rsid w:val="00690263"/>
    <w:rsid w:val="006B30AF"/>
    <w:rsid w:val="006B7316"/>
    <w:rsid w:val="006C3A8C"/>
    <w:rsid w:val="006D3BE7"/>
    <w:rsid w:val="006D5318"/>
    <w:rsid w:val="006E0275"/>
    <w:rsid w:val="0070102B"/>
    <w:rsid w:val="00706183"/>
    <w:rsid w:val="00707293"/>
    <w:rsid w:val="00725C2A"/>
    <w:rsid w:val="00753EBC"/>
    <w:rsid w:val="00753F61"/>
    <w:rsid w:val="00775513"/>
    <w:rsid w:val="00783F68"/>
    <w:rsid w:val="00792B72"/>
    <w:rsid w:val="00793440"/>
    <w:rsid w:val="00794CC7"/>
    <w:rsid w:val="007A4F00"/>
    <w:rsid w:val="007B1717"/>
    <w:rsid w:val="007D2E73"/>
    <w:rsid w:val="007F651B"/>
    <w:rsid w:val="00820BA6"/>
    <w:rsid w:val="00844F18"/>
    <w:rsid w:val="00857E06"/>
    <w:rsid w:val="00864D9D"/>
    <w:rsid w:val="00893BEC"/>
    <w:rsid w:val="008D0C32"/>
    <w:rsid w:val="008D24F0"/>
    <w:rsid w:val="00920E66"/>
    <w:rsid w:val="0093689A"/>
    <w:rsid w:val="009404D1"/>
    <w:rsid w:val="00946CC9"/>
    <w:rsid w:val="00947A65"/>
    <w:rsid w:val="009646D3"/>
    <w:rsid w:val="0096755C"/>
    <w:rsid w:val="009706F7"/>
    <w:rsid w:val="00970BBF"/>
    <w:rsid w:val="00995C26"/>
    <w:rsid w:val="009B7DFB"/>
    <w:rsid w:val="009D4457"/>
    <w:rsid w:val="00A0707E"/>
    <w:rsid w:val="00A145D4"/>
    <w:rsid w:val="00A326A3"/>
    <w:rsid w:val="00A44512"/>
    <w:rsid w:val="00A5759D"/>
    <w:rsid w:val="00A73210"/>
    <w:rsid w:val="00AB590E"/>
    <w:rsid w:val="00B02AF6"/>
    <w:rsid w:val="00B11214"/>
    <w:rsid w:val="00B25326"/>
    <w:rsid w:val="00B34806"/>
    <w:rsid w:val="00B4158C"/>
    <w:rsid w:val="00B47346"/>
    <w:rsid w:val="00B50C55"/>
    <w:rsid w:val="00B53526"/>
    <w:rsid w:val="00B77DC8"/>
    <w:rsid w:val="00B95CCF"/>
    <w:rsid w:val="00BC1377"/>
    <w:rsid w:val="00BC7A2E"/>
    <w:rsid w:val="00BD3C80"/>
    <w:rsid w:val="00C07ACC"/>
    <w:rsid w:val="00C07C6D"/>
    <w:rsid w:val="00C1270E"/>
    <w:rsid w:val="00C2628B"/>
    <w:rsid w:val="00C4770A"/>
    <w:rsid w:val="00C5362F"/>
    <w:rsid w:val="00C74FBE"/>
    <w:rsid w:val="00C75C1C"/>
    <w:rsid w:val="00C765FA"/>
    <w:rsid w:val="00C94A8B"/>
    <w:rsid w:val="00CC51B2"/>
    <w:rsid w:val="00CD5677"/>
    <w:rsid w:val="00CD7D7E"/>
    <w:rsid w:val="00CE73D5"/>
    <w:rsid w:val="00CF34A8"/>
    <w:rsid w:val="00D0640F"/>
    <w:rsid w:val="00D221D7"/>
    <w:rsid w:val="00D2465C"/>
    <w:rsid w:val="00D53C82"/>
    <w:rsid w:val="00D663EA"/>
    <w:rsid w:val="00D7671E"/>
    <w:rsid w:val="00DB13D6"/>
    <w:rsid w:val="00DB2E87"/>
    <w:rsid w:val="00DB4FF2"/>
    <w:rsid w:val="00DC6E55"/>
    <w:rsid w:val="00E0449B"/>
    <w:rsid w:val="00E14AAD"/>
    <w:rsid w:val="00E51C1F"/>
    <w:rsid w:val="00E530EF"/>
    <w:rsid w:val="00E92A0F"/>
    <w:rsid w:val="00E95D7F"/>
    <w:rsid w:val="00EB3B98"/>
    <w:rsid w:val="00F12C33"/>
    <w:rsid w:val="00F12CEE"/>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742A5D"/>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151">
      <w:bodyDiv w:val="1"/>
      <w:marLeft w:val="0"/>
      <w:marRight w:val="0"/>
      <w:marTop w:val="0"/>
      <w:marBottom w:val="0"/>
      <w:divBdr>
        <w:top w:val="none" w:sz="0" w:space="0" w:color="auto"/>
        <w:left w:val="none" w:sz="0" w:space="0" w:color="auto"/>
        <w:bottom w:val="none" w:sz="0" w:space="0" w:color="auto"/>
        <w:right w:val="none" w:sz="0" w:space="0" w:color="auto"/>
      </w:divBdr>
    </w:div>
    <w:div w:id="2051301657">
      <w:bodyDiv w:val="1"/>
      <w:marLeft w:val="0"/>
      <w:marRight w:val="0"/>
      <w:marTop w:val="0"/>
      <w:marBottom w:val="0"/>
      <w:divBdr>
        <w:top w:val="none" w:sz="0" w:space="0" w:color="auto"/>
        <w:left w:val="none" w:sz="0" w:space="0" w:color="auto"/>
        <w:bottom w:val="none" w:sz="0" w:space="0" w:color="auto"/>
        <w:right w:val="none" w:sz="0" w:space="0" w:color="auto"/>
      </w:divBdr>
    </w:div>
    <w:div w:id="20982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CB21-847B-455B-8A85-0A6ADC16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28</cp:revision>
  <cp:lastPrinted>2018-11-06T16:01:00Z</cp:lastPrinted>
  <dcterms:created xsi:type="dcterms:W3CDTF">2020-10-06T12:25:00Z</dcterms:created>
  <dcterms:modified xsi:type="dcterms:W3CDTF">2021-07-06T15:37:00Z</dcterms:modified>
</cp:coreProperties>
</file>