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4"/>
        <w:tblW w:w="15134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995"/>
        <w:gridCol w:w="6569"/>
        <w:gridCol w:w="6570"/>
      </w:tblGrid>
      <w:tr w:rsidR="00B44077" w:rsidRPr="00EE79AD" w14:paraId="3745953F" w14:textId="77777777" w:rsidTr="000C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5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3F328FA1" w14:textId="77777777" w:rsidR="00B44077" w:rsidRPr="00EE79AD" w:rsidRDefault="00B44077" w:rsidP="000C0858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</w:rPr>
            </w:pPr>
            <w:r w:rsidRPr="00EE79AD">
              <w:rPr>
                <w:rFonts w:ascii="Arial" w:hAnsi="Arial" w:cs="Arial"/>
                <w:b/>
                <w:sz w:val="28"/>
              </w:rPr>
              <w:t>Areas Assessed</w:t>
            </w:r>
          </w:p>
        </w:tc>
        <w:tc>
          <w:tcPr>
            <w:tcW w:w="6569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11BCE2C4" w14:textId="77777777" w:rsidR="00B44077" w:rsidRPr="00EE79AD" w:rsidRDefault="00B44077" w:rsidP="000C0858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EE79AD">
              <w:rPr>
                <w:rFonts w:ascii="Arial" w:hAnsi="Arial" w:cs="Arial"/>
                <w:b/>
                <w:sz w:val="28"/>
              </w:rPr>
              <w:t>Baseline Testing for reading</w:t>
            </w:r>
          </w:p>
        </w:tc>
        <w:tc>
          <w:tcPr>
            <w:tcW w:w="6570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1654336D" w14:textId="77777777" w:rsidR="00B44077" w:rsidRPr="00EE79AD" w:rsidRDefault="00B44077" w:rsidP="000C0858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EE79AD">
              <w:rPr>
                <w:rFonts w:ascii="Arial" w:hAnsi="Arial" w:cs="Arial"/>
                <w:b/>
                <w:sz w:val="28"/>
              </w:rPr>
              <w:t>Baseline Testing for Writing / OT assessments</w:t>
            </w:r>
          </w:p>
        </w:tc>
      </w:tr>
      <w:tr w:rsidR="00B44077" w:rsidRPr="00EE79AD" w14:paraId="34869584" w14:textId="77777777" w:rsidTr="000C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37B51A8" w14:textId="77777777" w:rsidR="00B44077" w:rsidRPr="00EE79AD" w:rsidRDefault="0051681D" w:rsidP="000C0858">
            <w:pPr>
              <w:spacing w:before="40" w:after="40"/>
              <w:rPr>
                <w:rFonts w:ascii="Arial" w:hAnsi="Arial" w:cs="Arial"/>
                <w:b/>
                <w:sz w:val="28"/>
                <w:szCs w:val="24"/>
              </w:rPr>
            </w:pPr>
            <w:r w:rsidRPr="00EE79AD">
              <w:rPr>
                <w:rFonts w:ascii="Arial" w:hAnsi="Arial" w:cs="Arial"/>
                <w:b/>
                <w:sz w:val="28"/>
                <w:szCs w:val="24"/>
              </w:rPr>
              <w:t>Delivery method</w:t>
            </w:r>
          </w:p>
        </w:tc>
        <w:tc>
          <w:tcPr>
            <w:tcW w:w="65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CF83D40" w14:textId="77777777" w:rsidR="00B44077" w:rsidRPr="00EE79AD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SSRT (reading comprehension and reading age)</w:t>
            </w:r>
            <w:r w:rsidR="000C0858">
              <w:rPr>
                <w:rFonts w:ascii="Arial" w:hAnsi="Arial" w:cs="Arial"/>
                <w:sz w:val="28"/>
                <w:szCs w:val="24"/>
              </w:rPr>
              <w:t xml:space="preserve"> conducted by test administrator.</w:t>
            </w:r>
          </w:p>
          <w:p w14:paraId="4A5281F6" w14:textId="77777777" w:rsidR="00B44077" w:rsidRPr="00EE79AD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</w:p>
          <w:p w14:paraId="5A509FAB" w14:textId="5E84312C" w:rsidR="00B44077" w:rsidRPr="00EE79AD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As all students have EHCPs</w:t>
            </w:r>
            <w:r w:rsidR="00923F23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EE79AD">
              <w:rPr>
                <w:rFonts w:ascii="Arial" w:hAnsi="Arial" w:cs="Arial"/>
                <w:sz w:val="28"/>
                <w:szCs w:val="24"/>
              </w:rPr>
              <w:t>this test is used outside of the standardised age range of the assessment manual</w:t>
            </w:r>
            <w:r w:rsidR="00923F23">
              <w:rPr>
                <w:rFonts w:ascii="Arial" w:hAnsi="Arial" w:cs="Arial"/>
                <w:sz w:val="28"/>
                <w:szCs w:val="24"/>
              </w:rPr>
              <w:t>.</w:t>
            </w:r>
          </w:p>
          <w:p w14:paraId="620A5323" w14:textId="77777777" w:rsidR="00B44077" w:rsidRPr="00EE79AD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</w:p>
          <w:p w14:paraId="412454C2" w14:textId="27D81922" w:rsidR="00B44077" w:rsidRPr="00EE79AD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Ongoing reading skills progress is assessed via the reading stages which take into account levels of support or specific strategies at the lowest attainment descriptors.</w:t>
            </w:r>
            <w:r w:rsidR="00923F23">
              <w:rPr>
                <w:rFonts w:ascii="Arial" w:hAnsi="Arial" w:cs="Arial"/>
                <w:sz w:val="28"/>
                <w:szCs w:val="24"/>
              </w:rPr>
              <w:t xml:space="preserve"> This test is administered in the first half term.</w:t>
            </w:r>
          </w:p>
        </w:tc>
        <w:tc>
          <w:tcPr>
            <w:tcW w:w="65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9D477A9" w14:textId="77777777" w:rsidR="00B44077" w:rsidRPr="00EE79AD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Pre-writing: tracing</w:t>
            </w:r>
          </w:p>
          <w:p w14:paraId="56FF586C" w14:textId="77777777" w:rsidR="00B44077" w:rsidRPr="00EE79AD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 xml:space="preserve">labelling a picture </w:t>
            </w:r>
          </w:p>
          <w:p w14:paraId="1CF012C2" w14:textId="77777777" w:rsidR="00B44077" w:rsidRPr="00EE79AD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sentence starter and picture stimulus</w:t>
            </w:r>
          </w:p>
          <w:p w14:paraId="410C690E" w14:textId="77777777" w:rsidR="00B44077" w:rsidRPr="00EE79AD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Functional Skills Task (Entry Level 1)</w:t>
            </w:r>
          </w:p>
          <w:p w14:paraId="142709FE" w14:textId="77777777" w:rsidR="00B44077" w:rsidRPr="00EE79AD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OT assessment</w:t>
            </w:r>
          </w:p>
          <w:p w14:paraId="38B708D3" w14:textId="77777777" w:rsidR="00B44077" w:rsidRPr="00EE79AD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</w:p>
          <w:p w14:paraId="60DA5F4A" w14:textId="35B625E2" w:rsidR="00B44077" w:rsidRPr="00EE79AD" w:rsidRDefault="00B44077" w:rsidP="00923F23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Ongoing in class observations and moderated work.</w:t>
            </w:r>
            <w:r w:rsidR="000C0858">
              <w:rPr>
                <w:rFonts w:ascii="Arial" w:hAnsi="Arial" w:cs="Arial"/>
                <w:sz w:val="28"/>
                <w:szCs w:val="24"/>
              </w:rPr>
              <w:t xml:space="preserve"> Tasks selected and administered by class teachers.</w:t>
            </w:r>
            <w:r w:rsidR="00923F23">
              <w:rPr>
                <w:rFonts w:ascii="Arial" w:hAnsi="Arial" w:cs="Arial"/>
                <w:sz w:val="28"/>
                <w:szCs w:val="24"/>
              </w:rPr>
              <w:t xml:space="preserve"> Writing baselines are completed at the class teacher’s discretion over the Autumn term.</w:t>
            </w:r>
          </w:p>
        </w:tc>
      </w:tr>
      <w:tr w:rsidR="00B44077" w:rsidRPr="00EE79AD" w14:paraId="60CE46C5" w14:textId="77777777" w:rsidTr="000C0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A22B78E" w14:textId="77777777" w:rsidR="00B44077" w:rsidRPr="00EE79AD" w:rsidRDefault="0051681D" w:rsidP="000C0858">
            <w:pPr>
              <w:spacing w:before="40" w:after="40"/>
              <w:rPr>
                <w:rFonts w:ascii="Arial" w:hAnsi="Arial" w:cs="Arial"/>
                <w:b/>
                <w:sz w:val="28"/>
                <w:szCs w:val="24"/>
              </w:rPr>
            </w:pPr>
            <w:r w:rsidRPr="00EE79AD">
              <w:rPr>
                <w:rFonts w:ascii="Arial" w:hAnsi="Arial" w:cs="Arial"/>
                <w:b/>
                <w:sz w:val="28"/>
                <w:szCs w:val="24"/>
              </w:rPr>
              <w:t>Report method</w:t>
            </w:r>
          </w:p>
        </w:tc>
        <w:tc>
          <w:tcPr>
            <w:tcW w:w="65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0E88AD2" w14:textId="77777777" w:rsidR="00B44077" w:rsidRPr="00EE79AD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Reading age (chronological)</w:t>
            </w:r>
          </w:p>
          <w:p w14:paraId="442251A9" w14:textId="77777777" w:rsidR="00B44077" w:rsidRPr="00EE79AD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Reading Comprehension age</w:t>
            </w:r>
          </w:p>
          <w:p w14:paraId="73A3A326" w14:textId="77777777" w:rsidR="00B44077" w:rsidRPr="00EE79AD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[as derived from manual standardised scores]</w:t>
            </w:r>
          </w:p>
        </w:tc>
        <w:tc>
          <w:tcPr>
            <w:tcW w:w="65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7B6D214" w14:textId="77777777" w:rsidR="00B44077" w:rsidRPr="00EE79AD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SDS Stages</w:t>
            </w:r>
          </w:p>
          <w:p w14:paraId="6BA62B0B" w14:textId="77777777" w:rsidR="00B44077" w:rsidRPr="00EE79AD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Specific OT targets</w:t>
            </w:r>
          </w:p>
        </w:tc>
      </w:tr>
      <w:tr w:rsidR="0051681D" w:rsidRPr="00EE79AD" w14:paraId="75BD5862" w14:textId="77777777" w:rsidTr="000C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47DE47B" w14:textId="77777777" w:rsidR="0051681D" w:rsidRPr="00EE79AD" w:rsidRDefault="0051681D" w:rsidP="000C0858">
            <w:pPr>
              <w:spacing w:before="40" w:after="40"/>
              <w:rPr>
                <w:rFonts w:ascii="Arial" w:hAnsi="Arial" w:cs="Arial"/>
                <w:b/>
                <w:sz w:val="28"/>
                <w:szCs w:val="24"/>
              </w:rPr>
            </w:pPr>
            <w:r w:rsidRPr="00EE79AD">
              <w:rPr>
                <w:rFonts w:ascii="Arial" w:hAnsi="Arial" w:cs="Arial"/>
                <w:b/>
                <w:sz w:val="28"/>
                <w:szCs w:val="24"/>
              </w:rPr>
              <w:t>Review Team</w:t>
            </w:r>
          </w:p>
        </w:tc>
        <w:tc>
          <w:tcPr>
            <w:tcW w:w="65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CB3389F" w14:textId="77777777" w:rsidR="0051681D" w:rsidRPr="00EE79AD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Head of Literacy</w:t>
            </w:r>
          </w:p>
          <w:p w14:paraId="129001DC" w14:textId="77777777" w:rsidR="0051681D" w:rsidRPr="00EE79AD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 xml:space="preserve">Head of </w:t>
            </w:r>
            <w:r w:rsidR="00627997" w:rsidRPr="00EE79AD">
              <w:rPr>
                <w:rFonts w:ascii="Arial" w:hAnsi="Arial" w:cs="Arial"/>
                <w:sz w:val="28"/>
                <w:szCs w:val="24"/>
              </w:rPr>
              <w:t>English</w:t>
            </w:r>
          </w:p>
          <w:p w14:paraId="39A3FD16" w14:textId="77777777" w:rsidR="0051681D" w:rsidRPr="00EE79AD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 xml:space="preserve">SALT team </w:t>
            </w:r>
          </w:p>
          <w:p w14:paraId="6330F641" w14:textId="77777777" w:rsidR="0051681D" w:rsidRPr="00EE79AD" w:rsidRDefault="000C0858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Test Administrator</w:t>
            </w:r>
          </w:p>
        </w:tc>
        <w:tc>
          <w:tcPr>
            <w:tcW w:w="65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863FD78" w14:textId="77777777" w:rsidR="0051681D" w:rsidRPr="00EE79AD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Head of Literacy</w:t>
            </w:r>
          </w:p>
          <w:p w14:paraId="5EFFC6F9" w14:textId="77777777" w:rsidR="0051681D" w:rsidRPr="00EE79AD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 xml:space="preserve">Head of </w:t>
            </w:r>
            <w:r w:rsidR="00627997" w:rsidRPr="00EE79AD">
              <w:rPr>
                <w:rFonts w:ascii="Arial" w:hAnsi="Arial" w:cs="Arial"/>
                <w:sz w:val="28"/>
                <w:szCs w:val="24"/>
              </w:rPr>
              <w:t>English</w:t>
            </w:r>
          </w:p>
          <w:p w14:paraId="15812B41" w14:textId="77777777" w:rsidR="0051681D" w:rsidRPr="00EE79AD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 xml:space="preserve">SALT team </w:t>
            </w:r>
          </w:p>
          <w:p w14:paraId="17652C91" w14:textId="77777777" w:rsidR="0051681D" w:rsidRPr="00EE79AD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Classroom teachers/practitioners</w:t>
            </w:r>
          </w:p>
          <w:p w14:paraId="1F6B62E3" w14:textId="4331B4B4" w:rsidR="0051681D" w:rsidRPr="00EE79AD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E79AD">
              <w:rPr>
                <w:rFonts w:ascii="Arial" w:hAnsi="Arial" w:cs="Arial"/>
                <w:sz w:val="28"/>
                <w:szCs w:val="24"/>
              </w:rPr>
              <w:t>Occupational Therapist</w:t>
            </w:r>
            <w:r w:rsidR="003847C3">
              <w:rPr>
                <w:rFonts w:ascii="Arial" w:hAnsi="Arial" w:cs="Arial"/>
                <w:sz w:val="28"/>
                <w:szCs w:val="24"/>
              </w:rPr>
              <w:t xml:space="preserve"> (if available)</w:t>
            </w:r>
          </w:p>
        </w:tc>
      </w:tr>
    </w:tbl>
    <w:p w14:paraId="706F62B1" w14:textId="5F365850" w:rsidR="0051681D" w:rsidRDefault="0051681D">
      <w:bookmarkStart w:id="0" w:name="_GoBack"/>
      <w:bookmarkEnd w:id="0"/>
    </w:p>
    <w:tbl>
      <w:tblPr>
        <w:tblStyle w:val="MediumList2-Accent4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78"/>
        <w:gridCol w:w="3214"/>
        <w:gridCol w:w="2173"/>
        <w:gridCol w:w="4255"/>
        <w:gridCol w:w="3214"/>
      </w:tblGrid>
      <w:tr w:rsidR="00617F84" w:rsidRPr="00EE79AD" w14:paraId="52D6ABF9" w14:textId="77777777" w:rsidTr="000C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7C2A0ED1" w14:textId="77777777" w:rsidR="00617F84" w:rsidRPr="00EE79AD" w:rsidRDefault="00617F84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617F84">
              <w:rPr>
                <w:rFonts w:ascii="Arial" w:hAnsi="Arial" w:cs="Arial"/>
                <w:b/>
                <w:sz w:val="32"/>
              </w:rPr>
              <w:lastRenderedPageBreak/>
              <w:t>WAVE 1</w:t>
            </w: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876521" w14:textId="77777777" w:rsidR="00617F84" w:rsidRPr="00EE79AD" w:rsidRDefault="00617F84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79A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93F90E9" w14:textId="77777777" w:rsidR="00617F84" w:rsidRPr="00EE79AD" w:rsidRDefault="00617F84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E79AD">
              <w:rPr>
                <w:rFonts w:ascii="Arial" w:hAnsi="Arial" w:cs="Arial"/>
                <w:b/>
                <w:u w:val="single"/>
              </w:rPr>
              <w:t>Time frame</w:t>
            </w:r>
          </w:p>
        </w:tc>
        <w:tc>
          <w:tcPr>
            <w:tcW w:w="4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66A7001A" w14:textId="77777777" w:rsidR="00617F84" w:rsidRPr="00EE79AD" w:rsidRDefault="00617F84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E79AD">
              <w:rPr>
                <w:rFonts w:ascii="Arial" w:hAnsi="Arial" w:cs="Arial"/>
                <w:b/>
                <w:u w:val="single"/>
              </w:rPr>
              <w:t>Measures of impact</w:t>
            </w: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2FBBCDE6" w14:textId="77777777" w:rsidR="00617F84" w:rsidRPr="00EE79AD" w:rsidRDefault="00617F84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E79AD">
              <w:rPr>
                <w:rFonts w:ascii="Arial" w:hAnsi="Arial" w:cs="Arial"/>
                <w:b/>
                <w:u w:val="single"/>
              </w:rPr>
              <w:t>Review points</w:t>
            </w:r>
          </w:p>
        </w:tc>
      </w:tr>
      <w:tr w:rsidR="00617F84" w:rsidRPr="00EE79AD" w14:paraId="45ABD6FA" w14:textId="77777777" w:rsidTr="000C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0904ADF" w14:textId="77777777" w:rsidR="00617F84" w:rsidRPr="00EE79AD" w:rsidRDefault="00617F84" w:rsidP="0051681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951792" w14:textId="77777777" w:rsidR="00617F84" w:rsidRPr="00617F84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17F84">
              <w:rPr>
                <w:rFonts w:ascii="Arial" w:hAnsi="Arial" w:cs="Arial"/>
                <w:i/>
                <w:sz w:val="24"/>
                <w:szCs w:val="24"/>
              </w:rPr>
              <w:t>Inclusive quality teaching for all students.</w:t>
            </w:r>
          </w:p>
          <w:p w14:paraId="14B5E541" w14:textId="77777777" w:rsidR="00617F84" w:rsidRPr="00617F84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289E58" w14:textId="77777777" w:rsidR="00617F84" w:rsidRPr="00617F84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17F84">
              <w:rPr>
                <w:rFonts w:ascii="Arial" w:hAnsi="Arial" w:cs="Arial"/>
                <w:i/>
                <w:sz w:val="24"/>
                <w:szCs w:val="24"/>
              </w:rPr>
              <w:t>Collaborative practice with SALT team.</w:t>
            </w:r>
          </w:p>
        </w:tc>
        <w:tc>
          <w:tcPr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4F647F" w14:textId="77777777" w:rsidR="00617F84" w:rsidRPr="00EE79AD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 xml:space="preserve">continuous </w:t>
            </w:r>
          </w:p>
        </w:tc>
        <w:tc>
          <w:tcPr>
            <w:tcW w:w="4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CF1D66" w14:textId="77777777" w:rsidR="00617F84" w:rsidRPr="00EE79AD" w:rsidRDefault="00A219AC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Stages </w:t>
            </w:r>
            <w:r w:rsidR="00617F84" w:rsidRPr="00EE79AD">
              <w:rPr>
                <w:rFonts w:ascii="Arial" w:hAnsi="Arial" w:cs="Arial"/>
                <w:sz w:val="24"/>
                <w:szCs w:val="24"/>
              </w:rPr>
              <w:t>attained</w:t>
            </w:r>
          </w:p>
          <w:p w14:paraId="42A7B3E9" w14:textId="570FB2DC" w:rsidR="00617F84" w:rsidRPr="00EE79AD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 xml:space="preserve">In class </w:t>
            </w:r>
            <w:r w:rsidR="00A219A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79AD">
              <w:rPr>
                <w:rFonts w:ascii="Arial" w:hAnsi="Arial" w:cs="Arial"/>
                <w:sz w:val="24"/>
                <w:szCs w:val="24"/>
              </w:rPr>
              <w:t>functioning (independence level, self-esteem, reduction in behaviour incidents)</w:t>
            </w:r>
            <w:r w:rsidR="001E5854">
              <w:rPr>
                <w:rFonts w:ascii="Arial" w:hAnsi="Arial" w:cs="Arial"/>
                <w:sz w:val="24"/>
                <w:szCs w:val="24"/>
              </w:rPr>
              <w:t xml:space="preserve"> observed by class teachers.</w:t>
            </w: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ADD407" w14:textId="77777777" w:rsidR="00617F84" w:rsidRPr="00EE79AD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Termly and annual analysis of progress data within subject descriptors (Stages)</w:t>
            </w:r>
          </w:p>
        </w:tc>
      </w:tr>
      <w:tr w:rsidR="007F5971" w:rsidRPr="00EE79AD" w14:paraId="6B570CE4" w14:textId="77777777" w:rsidTr="000C0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6304C4" w14:textId="77777777" w:rsidR="007F5971" w:rsidRPr="00EE79AD" w:rsidRDefault="007F5971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12856" w:type="dxa"/>
            <w:gridSpan w:val="4"/>
            <w:shd w:val="clear" w:color="auto" w:fill="auto"/>
            <w:vAlign w:val="center"/>
          </w:tcPr>
          <w:p w14:paraId="2DBACC24" w14:textId="77777777" w:rsidR="007F5971" w:rsidRPr="00EE79AD" w:rsidRDefault="007F597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Visual support (symbol as required)</w:t>
            </w:r>
          </w:p>
          <w:p w14:paraId="72363B25" w14:textId="77777777" w:rsidR="007F5971" w:rsidRPr="00EE79AD" w:rsidRDefault="007F597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Shape coding/colourful semantics</w:t>
            </w:r>
          </w:p>
          <w:p w14:paraId="6A20A479" w14:textId="77777777" w:rsidR="007F5971" w:rsidRDefault="007F597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Walking the word</w:t>
            </w:r>
          </w:p>
          <w:p w14:paraId="2587F1E1" w14:textId="3FD9AC9C" w:rsidR="001B7AA3" w:rsidRPr="00EE79AD" w:rsidRDefault="001B7AA3" w:rsidP="001B7AA3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Development of access methods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technology/reader</w:t>
            </w:r>
          </w:p>
        </w:tc>
      </w:tr>
      <w:tr w:rsidR="007F5971" w:rsidRPr="00EE79AD" w14:paraId="35BEA2C4" w14:textId="77777777" w:rsidTr="000C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9683F6" w14:textId="77777777" w:rsidR="007F5971" w:rsidRPr="00EE79AD" w:rsidRDefault="007F5971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sz w:val="24"/>
                <w:szCs w:val="24"/>
                <w:u w:val="single"/>
              </w:rPr>
              <w:t>Writing</w:t>
            </w:r>
          </w:p>
        </w:tc>
        <w:tc>
          <w:tcPr>
            <w:tcW w:w="1285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513507" w14:textId="77777777" w:rsidR="007F5971" w:rsidRPr="00EE79AD" w:rsidRDefault="007F597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Shape coding/colourful semantics</w:t>
            </w:r>
          </w:p>
          <w:p w14:paraId="186C4462" w14:textId="77777777" w:rsidR="007F5971" w:rsidRPr="00EE79AD" w:rsidRDefault="007F597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Scaffolds/differentiation by task or outcome</w:t>
            </w:r>
          </w:p>
          <w:p w14:paraId="0C881A61" w14:textId="77777777" w:rsidR="007F5971" w:rsidRDefault="007F597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OT In class: general fine motor-skill activities (putty/handwriting)</w:t>
            </w:r>
          </w:p>
          <w:p w14:paraId="5C68A63F" w14:textId="77777777" w:rsidR="00A219AC" w:rsidRPr="00EE79AD" w:rsidRDefault="00A219AC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Development of access methods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technology/scribes</w:t>
            </w:r>
          </w:p>
        </w:tc>
      </w:tr>
    </w:tbl>
    <w:p w14:paraId="6D7717E9" w14:textId="77777777" w:rsidR="0051681D" w:rsidRDefault="0051681D"/>
    <w:p w14:paraId="0CDD3644" w14:textId="77777777" w:rsidR="0051681D" w:rsidRDefault="0051681D">
      <w:r>
        <w:br w:type="page"/>
      </w:r>
    </w:p>
    <w:tbl>
      <w:tblPr>
        <w:tblStyle w:val="MediumList2-Accent4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038"/>
        <w:gridCol w:w="4776"/>
        <w:gridCol w:w="4253"/>
        <w:gridCol w:w="2551"/>
        <w:gridCol w:w="1697"/>
      </w:tblGrid>
      <w:tr w:rsidR="00EE79AD" w:rsidRPr="00EE79AD" w14:paraId="7331608D" w14:textId="77777777" w:rsidTr="000C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1D77827B" w14:textId="77777777" w:rsidR="00EE79AD" w:rsidRPr="00617F84" w:rsidRDefault="00EE79AD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617F84">
              <w:rPr>
                <w:rFonts w:ascii="Arial" w:hAnsi="Arial" w:cs="Arial"/>
                <w:b/>
                <w:sz w:val="32"/>
              </w:rPr>
              <w:lastRenderedPageBreak/>
              <w:t>WAVE 2</w:t>
            </w:r>
          </w:p>
        </w:tc>
        <w:tc>
          <w:tcPr>
            <w:tcW w:w="1309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CD56FDE" w14:textId="77777777" w:rsidR="00EE79AD" w:rsidRPr="00EE79AD" w:rsidRDefault="00EE79AD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79AD">
              <w:rPr>
                <w:rFonts w:ascii="Arial" w:hAnsi="Arial" w:cs="Arial"/>
                <w:b/>
              </w:rPr>
              <w:t>Description</w:t>
            </w:r>
          </w:p>
        </w:tc>
      </w:tr>
      <w:tr w:rsidR="00D93B35" w:rsidRPr="00EE79AD" w14:paraId="017C0A8D" w14:textId="77777777" w:rsidTr="00BF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4851F74F" w14:textId="77777777" w:rsidR="00D93B35" w:rsidRPr="00EE79AD" w:rsidRDefault="00D93B35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B8975BB" w14:textId="249A1C1D" w:rsidR="00D93B35" w:rsidRPr="00617F84" w:rsidRDefault="00D93B35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17F84">
              <w:rPr>
                <w:rFonts w:ascii="Arial" w:hAnsi="Arial" w:cs="Arial"/>
                <w:i/>
                <w:sz w:val="24"/>
                <w:szCs w:val="24"/>
              </w:rPr>
              <w:t xml:space="preserve">Additional interventions to enable children to work at </w:t>
            </w:r>
            <w:r w:rsidR="006454C5">
              <w:rPr>
                <w:rFonts w:ascii="Arial" w:hAnsi="Arial" w:cs="Arial"/>
                <w:i/>
                <w:sz w:val="24"/>
                <w:szCs w:val="24"/>
              </w:rPr>
              <w:t>age-related expectations or to increase independence and confidence.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33764D38" w14:textId="77777777" w:rsidR="00D93B35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Time frame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5C7D1F5B" w14:textId="77777777" w:rsidR="00D93B35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Measures of impact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4728C0DF" w14:textId="77777777" w:rsidR="00D93B35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Review points</w:t>
            </w:r>
          </w:p>
        </w:tc>
      </w:tr>
      <w:tr w:rsidR="006549E2" w:rsidRPr="00EE79AD" w14:paraId="58BBBC6F" w14:textId="77777777" w:rsidTr="00BF0CEA">
        <w:trPr>
          <w:trHeight w:val="2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EAD670B" w14:textId="77777777" w:rsidR="006549E2" w:rsidRPr="00617F84" w:rsidRDefault="006549E2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7F84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3B97EC4" w14:textId="0E426BFF" w:rsidR="006549E2" w:rsidRPr="00EE79AD" w:rsidRDefault="006549E2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Decoding programme (systematic reading programme from phonics to comprehension tasks)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64F5914" w14:textId="77777777" w:rsidR="00D93B35" w:rsidRDefault="00BF0CEA" w:rsidP="00BF0CEA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Yr7 s</w:t>
            </w:r>
            <w:r w:rsidR="006454C5">
              <w:rPr>
                <w:rFonts w:ascii="Arial" w:hAnsi="Arial" w:cs="Arial"/>
                <w:sz w:val="24"/>
                <w:szCs w:val="24"/>
              </w:rPr>
              <w:t>tudents who are assessed at below a chronological reading age of 6yrs will begin the programme as a class 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Summer term</w:t>
            </w:r>
            <w:r w:rsidR="006454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6BD6B" w14:textId="77777777" w:rsidR="00BF0CEA" w:rsidRDefault="00BF0CEA" w:rsidP="00BF0CEA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921435" w14:textId="240BAADE" w:rsidR="00BF0CEA" w:rsidRPr="00EE79AD" w:rsidRDefault="00BF0CEA" w:rsidP="00BF0CEA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Yr8’s still using the programme will do this for the first 6 weeks of Autumn term or less if completed.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D1DF16B" w14:textId="77777777" w:rsidR="006549E2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SSRT reading age (formal)</w:t>
            </w:r>
          </w:p>
          <w:p w14:paraId="00C3909C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698F522A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Teacher feedback (informal)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A4FF684" w14:textId="0ECD6A6B" w:rsidR="006549E2" w:rsidRPr="00EE79AD" w:rsidRDefault="006454C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 intervals</w:t>
            </w:r>
          </w:p>
          <w:p w14:paraId="28B1026B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9B67BE5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9E2" w:rsidRPr="00EE79AD" w14:paraId="57E05B13" w14:textId="77777777" w:rsidTr="00BF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538C9AA" w14:textId="77777777" w:rsidR="006549E2" w:rsidRPr="00617F84" w:rsidRDefault="006549E2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206FDAA" w14:textId="57D69EBF" w:rsidR="006549E2" w:rsidRPr="00EE79AD" w:rsidRDefault="006549E2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NRT – SALT supported reading for the development of inference and comprehension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B09725D" w14:textId="665BD289" w:rsidR="006549E2" w:rsidRPr="00EE79AD" w:rsidRDefault="002976F5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Yr8</w:t>
            </w:r>
            <w:r w:rsidR="00D93B35" w:rsidRPr="00EE79AD">
              <w:rPr>
                <w:rFonts w:ascii="Arial" w:hAnsi="Arial" w:cs="Arial"/>
                <w:sz w:val="24"/>
                <w:szCs w:val="24"/>
              </w:rPr>
              <w:t>-9 [2 sessions per week]</w:t>
            </w:r>
            <w:r w:rsidR="006454C5">
              <w:rPr>
                <w:rFonts w:ascii="Arial" w:hAnsi="Arial" w:cs="Arial"/>
                <w:sz w:val="24"/>
                <w:szCs w:val="24"/>
              </w:rPr>
              <w:t xml:space="preserve"> for 6 weeks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4755618" w14:textId="58C7EAE7" w:rsidR="006549E2" w:rsidRPr="00EE79AD" w:rsidRDefault="005A5F86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teacher and SALT consultation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0CC7BD6" w14:textId="77777777" w:rsidR="006454C5" w:rsidRPr="00EE79AD" w:rsidRDefault="006454C5" w:rsidP="006454C5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 intervals</w:t>
            </w:r>
          </w:p>
          <w:p w14:paraId="14749763" w14:textId="6E8BB5DB" w:rsidR="006549E2" w:rsidRPr="00EE79AD" w:rsidRDefault="006549E2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9E2" w:rsidRPr="00EE79AD" w14:paraId="1E9AA094" w14:textId="77777777" w:rsidTr="00BF0C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512C4E3" w14:textId="77777777" w:rsidR="006549E2" w:rsidRPr="00617F84" w:rsidRDefault="006549E2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4E75076" w14:textId="7D9ED17C" w:rsidR="006549E2" w:rsidRPr="00EE79AD" w:rsidRDefault="006549E2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 xml:space="preserve">HFW booklets </w:t>
            </w:r>
            <w:r w:rsidR="006454C5">
              <w:rPr>
                <w:rFonts w:ascii="Arial" w:hAnsi="Arial" w:cs="Arial"/>
                <w:sz w:val="24"/>
                <w:szCs w:val="24"/>
              </w:rPr>
              <w:t>– these may be assigned specifically for additional learning within tutor times and resources will be available in the school website for use at home.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9069CD4" w14:textId="38413350" w:rsidR="006549E2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Yr7</w:t>
            </w:r>
            <w:r w:rsidR="006454C5">
              <w:rPr>
                <w:rFonts w:ascii="Arial" w:hAnsi="Arial" w:cs="Arial"/>
                <w:sz w:val="24"/>
                <w:szCs w:val="24"/>
              </w:rPr>
              <w:t>-9</w:t>
            </w:r>
            <w:r w:rsidRPr="00EE79AD">
              <w:rPr>
                <w:rFonts w:ascii="Arial" w:hAnsi="Arial" w:cs="Arial"/>
                <w:sz w:val="24"/>
                <w:szCs w:val="24"/>
              </w:rPr>
              <w:t xml:space="preserve"> only where appropriate – supported by TA/tutorial team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DBB4251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SSRT reading age (formal)</w:t>
            </w:r>
          </w:p>
          <w:p w14:paraId="33EBD3FA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792FDA49" w14:textId="77777777" w:rsidR="006549E2" w:rsidRPr="00EE79AD" w:rsidRDefault="006549E2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BD612C3" w14:textId="77777777" w:rsidR="006549E2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End of year</w:t>
            </w:r>
          </w:p>
        </w:tc>
      </w:tr>
      <w:tr w:rsidR="00492D4E" w:rsidRPr="00EE79AD" w14:paraId="3143AE5C" w14:textId="77777777" w:rsidTr="00BF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D0F0A29" w14:textId="77777777" w:rsidR="00492D4E" w:rsidRPr="00617F84" w:rsidRDefault="00492D4E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7F84">
              <w:rPr>
                <w:rFonts w:ascii="Arial" w:hAnsi="Arial" w:cs="Arial"/>
                <w:sz w:val="24"/>
                <w:szCs w:val="24"/>
                <w:u w:val="single"/>
              </w:rPr>
              <w:t>Writing</w:t>
            </w: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084858B" w14:textId="5F94E30C" w:rsidR="00492D4E" w:rsidRPr="00EE79AD" w:rsidRDefault="00492D4E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Pre-writing skills activities CGP handwriting books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E98613A" w14:textId="24E4042D" w:rsidR="00492D4E" w:rsidRPr="00EE79AD" w:rsidRDefault="0050523E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Yr7-8 where appropriate for 3 weeks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727D9AF" w14:textId="70D2BBD6" w:rsidR="00492D4E" w:rsidRPr="00EE79AD" w:rsidRDefault="00492D4E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ED6CB58" w14:textId="77777777" w:rsidR="00492D4E" w:rsidRPr="00EE79AD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hoc</w:t>
            </w:r>
          </w:p>
        </w:tc>
      </w:tr>
      <w:tr w:rsidR="00492D4E" w:rsidRPr="00EE79AD" w14:paraId="1E8D9DAE" w14:textId="77777777" w:rsidTr="00BF0C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C84CC87" w14:textId="77777777" w:rsidR="00492D4E" w:rsidRPr="00EE79AD" w:rsidRDefault="00492D4E" w:rsidP="0051681D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DA706FF" w14:textId="2B566E99" w:rsidR="00492D4E" w:rsidRPr="00EE79AD" w:rsidRDefault="00492D4E" w:rsidP="006454C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Use of a laptop for extended writing</w:t>
            </w:r>
            <w:r w:rsidR="006454C5">
              <w:rPr>
                <w:rFonts w:ascii="Arial" w:hAnsi="Arial" w:cs="Arial"/>
                <w:sz w:val="24"/>
                <w:szCs w:val="24"/>
              </w:rPr>
              <w:t xml:space="preserve"> – at the end of KS3 the students’ usual way of working will be acknowledged formally and will be used as evidence for access arrangements for future qualifications.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BC44810" w14:textId="77777777" w:rsidR="00492D4E" w:rsidRPr="00EE79AD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continuous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40D8F70" w14:textId="0A68751E" w:rsidR="00492D4E" w:rsidRPr="00EE79AD" w:rsidRDefault="0050523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 teacher’s discretion, </w:t>
            </w:r>
            <w:r w:rsidR="00492D4E" w:rsidRPr="00EE79AD">
              <w:rPr>
                <w:rFonts w:ascii="Arial" w:hAnsi="Arial" w:cs="Arial"/>
                <w:sz w:val="24"/>
                <w:szCs w:val="24"/>
              </w:rPr>
              <w:t>OT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where part of the EHCP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7449ED1" w14:textId="6B4D91B7" w:rsidR="00492D4E" w:rsidRPr="00EE79AD" w:rsidRDefault="006454C5" w:rsidP="006454C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</w:t>
            </w:r>
            <w:r w:rsidR="0050523E">
              <w:rPr>
                <w:rFonts w:ascii="Arial" w:hAnsi="Arial" w:cs="Arial"/>
                <w:sz w:val="24"/>
                <w:szCs w:val="24"/>
              </w:rPr>
              <w:t xml:space="preserve">, forming part of access </w:t>
            </w:r>
            <w:r w:rsidR="002209D8">
              <w:rPr>
                <w:rFonts w:ascii="Arial" w:hAnsi="Arial" w:cs="Arial"/>
                <w:sz w:val="24"/>
                <w:szCs w:val="24"/>
              </w:rPr>
              <w:t>arrangements</w:t>
            </w:r>
          </w:p>
        </w:tc>
      </w:tr>
    </w:tbl>
    <w:p w14:paraId="39E6E976" w14:textId="77777777" w:rsidR="00B44077" w:rsidRDefault="00B44077"/>
    <w:p w14:paraId="6A97381E" w14:textId="77777777" w:rsidR="0051681D" w:rsidRDefault="0051681D">
      <w:r>
        <w:lastRenderedPageBreak/>
        <w:br w:type="page"/>
      </w:r>
    </w:p>
    <w:tbl>
      <w:tblPr>
        <w:tblStyle w:val="MediumList2-Accent4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038"/>
        <w:gridCol w:w="4776"/>
        <w:gridCol w:w="2552"/>
        <w:gridCol w:w="3543"/>
        <w:gridCol w:w="2225"/>
      </w:tblGrid>
      <w:tr w:rsidR="00EE79AD" w:rsidRPr="004B4E65" w14:paraId="79751451" w14:textId="77777777" w:rsidTr="000C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31849B" w:themeFill="accent5" w:themeFillShade="BF"/>
            <w:vAlign w:val="center"/>
          </w:tcPr>
          <w:p w14:paraId="4650D873" w14:textId="77777777" w:rsidR="00EE79AD" w:rsidRPr="00617F84" w:rsidRDefault="00EE79AD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617F84">
              <w:rPr>
                <w:rFonts w:ascii="Arial" w:hAnsi="Arial" w:cs="Arial"/>
                <w:b/>
                <w:sz w:val="32"/>
              </w:rPr>
              <w:lastRenderedPageBreak/>
              <w:t>WAVE 3</w:t>
            </w:r>
          </w:p>
        </w:tc>
        <w:tc>
          <w:tcPr>
            <w:tcW w:w="1309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68C8FCB" w14:textId="77777777" w:rsidR="00EE79AD" w:rsidRPr="004B4E65" w:rsidRDefault="00EE79AD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B4E65">
              <w:rPr>
                <w:rFonts w:ascii="Arial" w:hAnsi="Arial" w:cs="Arial"/>
                <w:b/>
              </w:rPr>
              <w:t>Description</w:t>
            </w:r>
          </w:p>
        </w:tc>
      </w:tr>
      <w:tr w:rsidR="00492D4E" w:rsidRPr="004B4E65" w14:paraId="0E33D2E1" w14:textId="77777777" w:rsidTr="00D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1849B" w:themeFill="accent5" w:themeFillShade="BF"/>
            <w:vAlign w:val="center"/>
          </w:tcPr>
          <w:p w14:paraId="1B9962C3" w14:textId="77777777" w:rsidR="00492D4E" w:rsidRPr="004B4E65" w:rsidRDefault="00492D4E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66E85B7" w14:textId="77777777" w:rsidR="00492D4E" w:rsidRPr="00617F84" w:rsidRDefault="00492D4E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17F84">
              <w:rPr>
                <w:rFonts w:ascii="Arial" w:hAnsi="Arial" w:cs="Arial"/>
                <w:i/>
                <w:sz w:val="24"/>
                <w:szCs w:val="24"/>
              </w:rPr>
              <w:t>Additional highly personalised interventions</w:t>
            </w:r>
            <w:r w:rsidR="00617F84" w:rsidRPr="00617F84">
              <w:rPr>
                <w:rFonts w:ascii="Arial" w:hAnsi="Arial" w:cs="Arial"/>
                <w:i/>
                <w:sz w:val="24"/>
                <w:szCs w:val="24"/>
              </w:rPr>
              <w:t xml:space="preserve"> to contribute towards access arrangements for qualifications 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390CA422" w14:textId="77777777" w:rsidR="00492D4E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Time frame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35018059" w14:textId="77777777" w:rsidR="00492D4E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Measures of impact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15A5A190" w14:textId="77777777" w:rsidR="00492D4E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Review points</w:t>
            </w:r>
          </w:p>
        </w:tc>
      </w:tr>
      <w:tr w:rsidR="00492D4E" w:rsidRPr="004B4E65" w14:paraId="217D5A09" w14:textId="77777777" w:rsidTr="00D96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52DB2BD" w14:textId="77777777" w:rsidR="00492D4E" w:rsidRPr="00617F84" w:rsidRDefault="00492D4E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7F84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52EF4EB" w14:textId="5325FEA0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Decoding extension </w:t>
            </w:r>
            <w:r w:rsidR="00F903E1">
              <w:rPr>
                <w:rFonts w:ascii="Arial" w:hAnsi="Arial" w:cs="Arial"/>
                <w:sz w:val="24"/>
                <w:szCs w:val="24"/>
              </w:rPr>
              <w:t>– this is used primarily with late intake pupils who have not gone through KS3 at SDS.</w:t>
            </w:r>
          </w:p>
          <w:p w14:paraId="2576C9BE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92646ED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KS4 (Yr10) </w:t>
            </w:r>
          </w:p>
          <w:p w14:paraId="2C7BE830" w14:textId="7DE01303" w:rsidR="00492D4E" w:rsidRPr="004B4E65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887371B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SSRT reading age (formal)</w:t>
            </w:r>
          </w:p>
          <w:p w14:paraId="6659CD17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1E1DD3BC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feedback (informal)</w:t>
            </w:r>
          </w:p>
          <w:p w14:paraId="795087BE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feedback (informal)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17489EC" w14:textId="77777777" w:rsidR="00492D4E" w:rsidRDefault="00BA7B9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half-termly</w:t>
            </w:r>
          </w:p>
          <w:p w14:paraId="0EDBECFE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1F7FFA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D7B" w:rsidRPr="004B4E65" w14:paraId="6E7ACD91" w14:textId="77777777" w:rsidTr="00D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0F3D84B" w14:textId="77777777" w:rsidR="00B93D7B" w:rsidRPr="00617F84" w:rsidRDefault="00B93D7B" w:rsidP="00617F84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5BDAAF6" w14:textId="77777777" w:rsidR="00B93D7B" w:rsidRDefault="00B93D7B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Catch-Up 1:1 reading sessions</w:t>
            </w:r>
            <w:r w:rsidR="00F42E2A">
              <w:rPr>
                <w:rFonts w:ascii="Arial" w:hAnsi="Arial" w:cs="Arial"/>
                <w:sz w:val="24"/>
                <w:szCs w:val="24"/>
              </w:rPr>
              <w:t xml:space="preserve"> (2 sessions per week)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854608E" w14:textId="77777777" w:rsidR="00B93D7B" w:rsidRDefault="00B93D7B" w:rsidP="00F42E2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</w:t>
            </w:r>
            <w:r w:rsidR="00F42E2A">
              <w:rPr>
                <w:rFonts w:ascii="Arial" w:hAnsi="Arial" w:cs="Arial"/>
                <w:sz w:val="24"/>
                <w:szCs w:val="24"/>
              </w:rPr>
              <w:t>3-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42E2A">
              <w:rPr>
                <w:rFonts w:ascii="Arial" w:hAnsi="Arial" w:cs="Arial"/>
                <w:sz w:val="24"/>
                <w:szCs w:val="24"/>
              </w:rPr>
              <w:t xml:space="preserve"> students who have completed decoding or lack confidence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809027A" w14:textId="77777777" w:rsidR="00F42E2A" w:rsidRDefault="00B93D7B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Catch-Up assessment</w:t>
            </w:r>
          </w:p>
          <w:p w14:paraId="4CB0C275" w14:textId="77777777" w:rsidR="00F42E2A" w:rsidRDefault="00F42E2A" w:rsidP="00F42E2A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SSRT reading age (formal)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420EEED" w14:textId="77777777" w:rsidR="00B93D7B" w:rsidRDefault="00BA7B9E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93D7B">
              <w:rPr>
                <w:rFonts w:ascii="Arial" w:hAnsi="Arial" w:cs="Arial"/>
                <w:sz w:val="24"/>
                <w:szCs w:val="24"/>
              </w:rPr>
              <w:t>ermly</w:t>
            </w:r>
            <w:r>
              <w:rPr>
                <w:rFonts w:ascii="Arial" w:hAnsi="Arial" w:cs="Arial"/>
                <w:sz w:val="24"/>
                <w:szCs w:val="24"/>
              </w:rPr>
              <w:t>/2 terms</w:t>
            </w:r>
          </w:p>
        </w:tc>
      </w:tr>
      <w:tr w:rsidR="00492D4E" w:rsidRPr="004B4E65" w14:paraId="1F89A01C" w14:textId="77777777" w:rsidTr="00D96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82D1AD9" w14:textId="77777777" w:rsidR="00492D4E" w:rsidRPr="00617F84" w:rsidRDefault="00492D4E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56BFBAD" w14:textId="77777777" w:rsidR="00492D4E" w:rsidRPr="006549E2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4E65">
              <w:rPr>
                <w:rFonts w:ascii="Arial" w:hAnsi="Arial" w:cs="Arial"/>
                <w:sz w:val="24"/>
                <w:szCs w:val="24"/>
              </w:rPr>
              <w:t>C-Pen digital reading pen</w:t>
            </w:r>
            <w:r>
              <w:rPr>
                <w:rFonts w:ascii="Arial" w:hAnsi="Arial" w:cs="Arial"/>
                <w:sz w:val="24"/>
                <w:szCs w:val="24"/>
              </w:rPr>
              <w:t xml:space="preserve"> 1:1 sessions to support comprehension and speed in reading, development of reading support strategies for use in adulthood 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AA31DFF" w14:textId="75141A94" w:rsidR="00492D4E" w:rsidRPr="004B4E65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tutor times for 6 weeks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EC2AD1B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SSRT reading comprehension age (formal)</w:t>
            </w:r>
          </w:p>
          <w:p w14:paraId="3D77CD1C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feedback (informal)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8047F04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F903E1" w:rsidRPr="004B4E65" w14:paraId="7720237B" w14:textId="77777777" w:rsidTr="00D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DD01BF9" w14:textId="77777777" w:rsidR="00F903E1" w:rsidRPr="00617F84" w:rsidRDefault="00F903E1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7F84">
              <w:rPr>
                <w:rFonts w:ascii="Arial" w:hAnsi="Arial" w:cs="Arial"/>
                <w:sz w:val="24"/>
                <w:szCs w:val="24"/>
                <w:u w:val="single"/>
              </w:rPr>
              <w:t>Writing</w:t>
            </w: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3CE1C70" w14:textId="77777777" w:rsidR="00F903E1" w:rsidRPr="004B4E65" w:rsidRDefault="00F903E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4E65">
              <w:rPr>
                <w:rFonts w:ascii="Arial" w:hAnsi="Arial" w:cs="Arial"/>
                <w:sz w:val="24"/>
                <w:szCs w:val="24"/>
              </w:rPr>
              <w:t xml:space="preserve">Use of a laptop for extended 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</w:t>
            </w:r>
            <w:r w:rsidRPr="004B4E65">
              <w:rPr>
                <w:rFonts w:ascii="Arial" w:hAnsi="Arial" w:cs="Arial"/>
                <w:sz w:val="24"/>
                <w:szCs w:val="24"/>
              </w:rPr>
              <w:t>Clicker 6 predictive writing software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525CDA2" w14:textId="77EF5CB3" w:rsidR="00F903E1" w:rsidRDefault="00FA4F8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class </w:t>
            </w:r>
            <w:r w:rsidR="00F903E1">
              <w:rPr>
                <w:rFonts w:ascii="Arial" w:hAnsi="Arial" w:cs="Arial"/>
                <w:sz w:val="24"/>
                <w:szCs w:val="24"/>
              </w:rPr>
              <w:t>continuous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64E6445" w14:textId="77777777" w:rsidR="00F903E1" w:rsidRDefault="00F903E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5869692E" w14:textId="77777777" w:rsidR="00F903E1" w:rsidRDefault="00F903E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 assessment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EF4F9CD" w14:textId="77777777" w:rsidR="00F903E1" w:rsidRPr="004B4E65" w:rsidRDefault="00F903E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Annually, forming part of access arrangements</w:t>
            </w:r>
          </w:p>
        </w:tc>
      </w:tr>
      <w:tr w:rsidR="00F903E1" w:rsidRPr="004B4E65" w14:paraId="50435804" w14:textId="77777777" w:rsidTr="00D96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6FE291C" w14:textId="77777777" w:rsidR="00F903E1" w:rsidRPr="004B4E65" w:rsidRDefault="00F903E1" w:rsidP="0051681D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F7BE1B9" w14:textId="77777777" w:rsidR="00F903E1" w:rsidRPr="004B4E65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4E65">
              <w:rPr>
                <w:rFonts w:ascii="Arial" w:hAnsi="Arial" w:cs="Arial"/>
                <w:sz w:val="24"/>
                <w:szCs w:val="24"/>
              </w:rPr>
              <w:t>Targeted OT</w:t>
            </w:r>
            <w:r>
              <w:rPr>
                <w:rFonts w:ascii="Arial" w:hAnsi="Arial" w:cs="Arial"/>
                <w:sz w:val="24"/>
                <w:szCs w:val="24"/>
              </w:rPr>
              <w:t xml:space="preserve"> sessions with TA</w:t>
            </w:r>
          </w:p>
          <w:p w14:paraId="4E8F6C25" w14:textId="77777777" w:rsidR="00F903E1" w:rsidRPr="004B4E65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F349DAE" w14:textId="31B16797" w:rsidR="00F903E1" w:rsidRDefault="00FA4F8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class continuous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0921F09" w14:textId="77777777" w:rsidR="00F903E1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 assessment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0BD7BCE" w14:textId="44F1737E" w:rsidR="00F903E1" w:rsidRPr="004B4E65" w:rsidRDefault="00FA4F8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  <w:tr w:rsidR="00F903E1" w:rsidRPr="004B4E65" w14:paraId="49624418" w14:textId="77777777" w:rsidTr="00D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F986234" w14:textId="77777777" w:rsidR="00F903E1" w:rsidRPr="004B4E65" w:rsidRDefault="00F903E1" w:rsidP="0051681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3FC61B9" w14:textId="7CC3B30B" w:rsidR="00F903E1" w:rsidRPr="004B4E65" w:rsidRDefault="00FA4F81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sessions – 1:1 practice of spellings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43DC15C" w14:textId="3D91BAF1" w:rsidR="00F903E1" w:rsidRDefault="00131D1D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class </w:t>
            </w:r>
            <w:r w:rsidR="00FA4F81"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2420C7C" w14:textId="77777777" w:rsidR="00FA4F81" w:rsidRDefault="00FA4F81" w:rsidP="00FA4F8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774CEFDB" w14:textId="77777777" w:rsidR="00FA4F81" w:rsidRDefault="00FA4F81" w:rsidP="00FA4F8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feedback (informal)</w:t>
            </w:r>
          </w:p>
          <w:p w14:paraId="602FC761" w14:textId="77777777" w:rsidR="00F903E1" w:rsidRDefault="00F903E1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7A611B0" w14:textId="77777777" w:rsidR="00FA4F81" w:rsidRDefault="00FA4F81" w:rsidP="00FA4F8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half-termly</w:t>
            </w:r>
          </w:p>
          <w:p w14:paraId="2400AFBA" w14:textId="77777777" w:rsidR="00F903E1" w:rsidRPr="004B4E65" w:rsidRDefault="00F903E1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C6EF99" w14:textId="1FD3CD55" w:rsidR="009A377C" w:rsidRDefault="009A377C" w:rsidP="00101D2D"/>
    <w:sectPr w:rsidR="009A377C" w:rsidSect="00B4407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4B4A0" w14:textId="77777777" w:rsidR="00F903E1" w:rsidRDefault="00F903E1" w:rsidP="009A377C">
      <w:pPr>
        <w:spacing w:after="0" w:line="240" w:lineRule="auto"/>
      </w:pPr>
      <w:r>
        <w:separator/>
      </w:r>
    </w:p>
  </w:endnote>
  <w:endnote w:type="continuationSeparator" w:id="0">
    <w:p w14:paraId="13E383BB" w14:textId="77777777" w:rsidR="00F903E1" w:rsidRDefault="00F903E1" w:rsidP="009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34BE" w14:textId="7B6021C7" w:rsidR="00A76144" w:rsidRDefault="00A7614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A71337" wp14:editId="13D51022">
          <wp:simplePos x="0" y="0"/>
          <wp:positionH relativeFrom="column">
            <wp:posOffset>8672830</wp:posOffset>
          </wp:positionH>
          <wp:positionV relativeFrom="paragraph">
            <wp:posOffset>-1209040</wp:posOffset>
          </wp:positionV>
          <wp:extent cx="941705" cy="1666875"/>
          <wp:effectExtent l="0" t="0" r="0" b="9525"/>
          <wp:wrapTight wrapText="bothSides">
            <wp:wrapPolygon edited="0">
              <wp:start x="10050" y="0"/>
              <wp:lineTo x="4370" y="987"/>
              <wp:lineTo x="3496" y="1481"/>
              <wp:lineTo x="4370" y="8393"/>
              <wp:lineTo x="1311" y="12096"/>
              <wp:lineTo x="437" y="21477"/>
              <wp:lineTo x="2185" y="21477"/>
              <wp:lineTo x="2622" y="21230"/>
              <wp:lineTo x="6117" y="20242"/>
              <wp:lineTo x="17478" y="20242"/>
              <wp:lineTo x="19663" y="19502"/>
              <wp:lineTo x="17041" y="16293"/>
              <wp:lineTo x="20100" y="12343"/>
              <wp:lineTo x="20100" y="0"/>
              <wp:lineTo x="100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ny owl TRANSPARENT.gif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0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B9D0" w14:textId="77777777" w:rsidR="00F903E1" w:rsidRDefault="00F903E1" w:rsidP="009A377C">
      <w:pPr>
        <w:spacing w:after="0" w:line="240" w:lineRule="auto"/>
      </w:pPr>
      <w:r>
        <w:separator/>
      </w:r>
    </w:p>
  </w:footnote>
  <w:footnote w:type="continuationSeparator" w:id="0">
    <w:p w14:paraId="039A979B" w14:textId="77777777" w:rsidR="00F903E1" w:rsidRDefault="00F903E1" w:rsidP="009A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CFF4B" w14:textId="20D08A8E" w:rsidR="00F903E1" w:rsidRPr="004B4E65" w:rsidRDefault="00F903E1" w:rsidP="004B4E65">
    <w:pPr>
      <w:pStyle w:val="Title"/>
      <w:rPr>
        <w:sz w:val="28"/>
      </w:rPr>
    </w:pPr>
    <w:r w:rsidRPr="004B4E65">
      <w:rPr>
        <w:sz w:val="32"/>
      </w:rPr>
      <w:t xml:space="preserve"> Stony Dean Sc</w:t>
    </w:r>
    <w:r>
      <w:rPr>
        <w:sz w:val="32"/>
      </w:rPr>
      <w:t>hool Literacy Interventions 2018</w:t>
    </w:r>
    <w:r w:rsidRPr="004B4E65">
      <w:rPr>
        <w:sz w:val="32"/>
      </w:rPr>
      <w:t>-201</w:t>
    </w:r>
    <w:r>
      <w:rPr>
        <w:sz w:val="32"/>
      </w:rPr>
      <w:t>9</w:t>
    </w:r>
    <w:r w:rsidR="00A76144">
      <w:rPr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59B"/>
    <w:multiLevelType w:val="hybridMultilevel"/>
    <w:tmpl w:val="4CE0C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E1CE9"/>
    <w:multiLevelType w:val="hybridMultilevel"/>
    <w:tmpl w:val="7608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86065"/>
    <w:multiLevelType w:val="hybridMultilevel"/>
    <w:tmpl w:val="829AB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9"/>
    <w:rsid w:val="000C0858"/>
    <w:rsid w:val="00101D2D"/>
    <w:rsid w:val="00131D1D"/>
    <w:rsid w:val="00151874"/>
    <w:rsid w:val="00187DF9"/>
    <w:rsid w:val="001B7AA3"/>
    <w:rsid w:val="001E5854"/>
    <w:rsid w:val="002209D8"/>
    <w:rsid w:val="00274D94"/>
    <w:rsid w:val="002976F5"/>
    <w:rsid w:val="003847C3"/>
    <w:rsid w:val="00492D4E"/>
    <w:rsid w:val="004B4E65"/>
    <w:rsid w:val="004D782E"/>
    <w:rsid w:val="004F64F4"/>
    <w:rsid w:val="0050523E"/>
    <w:rsid w:val="0051681D"/>
    <w:rsid w:val="005176ED"/>
    <w:rsid w:val="0055106E"/>
    <w:rsid w:val="005A5F86"/>
    <w:rsid w:val="00617F84"/>
    <w:rsid w:val="00627997"/>
    <w:rsid w:val="006454C5"/>
    <w:rsid w:val="006549E2"/>
    <w:rsid w:val="006748E3"/>
    <w:rsid w:val="0079142E"/>
    <w:rsid w:val="007C3576"/>
    <w:rsid w:val="007F5971"/>
    <w:rsid w:val="00923F23"/>
    <w:rsid w:val="0093518E"/>
    <w:rsid w:val="009A15CA"/>
    <w:rsid w:val="009A377C"/>
    <w:rsid w:val="00A219AC"/>
    <w:rsid w:val="00A37B64"/>
    <w:rsid w:val="00A76144"/>
    <w:rsid w:val="00B44077"/>
    <w:rsid w:val="00B93D7B"/>
    <w:rsid w:val="00BA7B9E"/>
    <w:rsid w:val="00BF0CEA"/>
    <w:rsid w:val="00C30344"/>
    <w:rsid w:val="00D93B35"/>
    <w:rsid w:val="00D9649E"/>
    <w:rsid w:val="00EE79AD"/>
    <w:rsid w:val="00F17721"/>
    <w:rsid w:val="00F42E2A"/>
    <w:rsid w:val="00F903E1"/>
    <w:rsid w:val="00FA4F81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1843022"/>
  <w15:docId w15:val="{39B13883-35B8-4F9E-A31E-FB443C8C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7C"/>
  </w:style>
  <w:style w:type="paragraph" w:styleId="Footer">
    <w:name w:val="footer"/>
    <w:basedOn w:val="Normal"/>
    <w:link w:val="FooterChar"/>
    <w:uiPriority w:val="99"/>
    <w:unhideWhenUsed/>
    <w:rsid w:val="009A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7C"/>
  </w:style>
  <w:style w:type="table" w:styleId="TableGrid">
    <w:name w:val="Table Grid"/>
    <w:basedOn w:val="TableNormal"/>
    <w:uiPriority w:val="59"/>
    <w:rsid w:val="009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E6B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FE6B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E6B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FE6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E6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Vanbenschoten</dc:creator>
  <cp:lastModifiedBy>Tom Boardman</cp:lastModifiedBy>
  <cp:revision>2</cp:revision>
  <cp:lastPrinted>2018-09-27T15:25:00Z</cp:lastPrinted>
  <dcterms:created xsi:type="dcterms:W3CDTF">2018-10-09T14:20:00Z</dcterms:created>
  <dcterms:modified xsi:type="dcterms:W3CDTF">2018-10-09T14:20:00Z</dcterms:modified>
</cp:coreProperties>
</file>