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0C" w:rsidRDefault="0041010C" w:rsidP="0041010C">
      <w:pPr>
        <w:spacing w:after="0" w:line="360" w:lineRule="atLeast"/>
        <w:rPr>
          <w:rFonts w:eastAsia="Times New Roman" w:cs="Helvetica"/>
          <w:b/>
          <w:bCs/>
          <w:sz w:val="28"/>
          <w:szCs w:val="28"/>
          <w:lang w:val="en-US" w:eastAsia="en-GB"/>
        </w:rPr>
      </w:pPr>
      <w:bookmarkStart w:id="0" w:name="_GoBack"/>
      <w:bookmarkEnd w:id="0"/>
    </w:p>
    <w:p w:rsidR="007D2E73" w:rsidRDefault="007D2E73" w:rsidP="007D2E73">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PUPIL PREMIUM FUNDING (PPF) 2017-18</w:t>
      </w:r>
    </w:p>
    <w:p w:rsidR="007D2E73" w:rsidRDefault="007D2E73" w:rsidP="007D2E73">
      <w:pPr>
        <w:spacing w:after="0" w:line="360" w:lineRule="atLeast"/>
        <w:jc w:val="center"/>
        <w:rPr>
          <w:rFonts w:eastAsia="Times New Roman" w:cs="Helvetica"/>
          <w:b/>
          <w:bCs/>
          <w:sz w:val="28"/>
          <w:szCs w:val="28"/>
          <w:lang w:val="en-US" w:eastAsia="en-GB"/>
        </w:rPr>
      </w:pPr>
    </w:p>
    <w:p w:rsidR="007D2E73" w:rsidRPr="007D2E73" w:rsidRDefault="00995C26" w:rsidP="007D2E73">
      <w:pPr>
        <w:spacing w:after="0" w:line="360" w:lineRule="atLeast"/>
        <w:rPr>
          <w:rFonts w:eastAsia="Times New Roman" w:cs="Helvetica"/>
          <w:lang w:val="en-US" w:eastAsia="en-GB"/>
        </w:rPr>
      </w:pPr>
      <w:r>
        <w:rPr>
          <w:rFonts w:eastAsia="Times New Roman" w:cs="Helvetica"/>
          <w:lang w:val="en-US" w:eastAsia="en-GB"/>
        </w:rPr>
        <w:t>The table below shows the initiatives, the reason, how the impact is measured and the cost of the initiative for year 2019-20. It summarizes the initiatives as well as conveys the required cost for these initiatives to take place for our pupils.</w:t>
      </w:r>
    </w:p>
    <w:p w:rsidR="007D2E73" w:rsidRDefault="007D2E73"/>
    <w:tbl>
      <w:tblPr>
        <w:tblStyle w:val="TableGrid"/>
        <w:tblW w:w="0" w:type="auto"/>
        <w:tblLook w:val="04A0" w:firstRow="1" w:lastRow="0" w:firstColumn="1" w:lastColumn="0" w:noHBand="0" w:noVBand="1"/>
      </w:tblPr>
      <w:tblGrid>
        <w:gridCol w:w="2602"/>
        <w:gridCol w:w="4898"/>
        <w:gridCol w:w="5820"/>
        <w:gridCol w:w="1685"/>
      </w:tblGrid>
      <w:tr w:rsidR="007D2E73" w:rsidRPr="006B76B8" w:rsidTr="00B53526">
        <w:trPr>
          <w:trHeight w:val="547"/>
        </w:trPr>
        <w:tc>
          <w:tcPr>
            <w:tcW w:w="2602"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Initiative</w:t>
            </w:r>
          </w:p>
        </w:tc>
        <w:tc>
          <w:tcPr>
            <w:tcW w:w="4898"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Reason</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685"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Cost</w:t>
            </w:r>
          </w:p>
        </w:tc>
      </w:tr>
      <w:tr w:rsidR="007D2E73" w:rsidRPr="006B76B8" w:rsidTr="00B53526">
        <w:trPr>
          <w:trHeight w:val="5599"/>
        </w:trPr>
        <w:tc>
          <w:tcPr>
            <w:tcW w:w="2602" w:type="dxa"/>
          </w:tcPr>
          <w:p w:rsidR="007D2E73" w:rsidRDefault="007D2E73" w:rsidP="003273E0">
            <w:pPr>
              <w:spacing w:line="360" w:lineRule="atLeast"/>
              <w:rPr>
                <w:rFonts w:eastAsia="Times New Roman" w:cs="Helvetica"/>
                <w:lang w:eastAsia="en-GB"/>
              </w:rPr>
            </w:pPr>
            <w:r w:rsidRPr="006B76B8">
              <w:rPr>
                <w:rFonts w:eastAsia="Times New Roman" w:cs="Helvetica"/>
                <w:lang w:eastAsia="en-GB"/>
              </w:rPr>
              <w:t>Catch-up Literacy programmes or 1-1 intervention</w:t>
            </w: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w:t>
            </w:r>
            <w:r>
              <w:rPr>
                <w:rFonts w:eastAsia="Times New Roman" w:cs="Helvetica"/>
                <w:lang w:eastAsia="en-GB"/>
              </w:rPr>
              <w:t>Home reading and specific book packs</w:t>
            </w:r>
          </w:p>
        </w:tc>
        <w:tc>
          <w:tcPr>
            <w:tcW w:w="4898" w:type="dxa"/>
          </w:tcPr>
          <w:p w:rsidR="007D2E73" w:rsidRDefault="007D2E73" w:rsidP="007D2E73">
            <w:pPr>
              <w:spacing w:line="360" w:lineRule="atLeast"/>
              <w:rPr>
                <w:rFonts w:eastAsia="Times New Roman" w:cs="Helvetica"/>
                <w:lang w:eastAsia="en-GB"/>
              </w:rPr>
            </w:pPr>
            <w:r w:rsidRPr="006B76B8">
              <w:rPr>
                <w:rFonts w:eastAsia="Times New Roman" w:cs="Helvetica"/>
                <w:lang w:eastAsia="en-GB"/>
              </w:rPr>
              <w:t>The Literacy interventions programmes were chosen because it allows access to the wider curriculum and supports their emotional development through building confidence.</w:t>
            </w:r>
            <w:r>
              <w:rPr>
                <w:rFonts w:eastAsia="Times New Roman" w:cs="Helvetica"/>
                <w:lang w:eastAsia="en-GB"/>
              </w:rPr>
              <w:t xml:space="preserve"> Development of life skills.</w:t>
            </w:r>
            <w:r w:rsidRPr="006B76B8">
              <w:rPr>
                <w:rFonts w:eastAsia="Times New Roman" w:cs="Helvetica"/>
                <w:lang w:eastAsia="en-GB"/>
              </w:rPr>
              <w:t xml:space="preserve"> </w:t>
            </w:r>
          </w:p>
          <w:p w:rsidR="007D2E73" w:rsidRDefault="007D2E73" w:rsidP="007D2E73">
            <w:pPr>
              <w:spacing w:line="360" w:lineRule="atLeast"/>
              <w:rPr>
                <w:rFonts w:eastAsia="Times New Roman" w:cs="Helvetica"/>
                <w:lang w:eastAsia="en-GB"/>
              </w:rPr>
            </w:pPr>
          </w:p>
          <w:p w:rsidR="007D2E73" w:rsidRDefault="007D2E73" w:rsidP="007D2E73">
            <w:pPr>
              <w:spacing w:line="360" w:lineRule="atLeast"/>
              <w:rPr>
                <w:rFonts w:eastAsia="Times New Roman" w:cs="Helvetica"/>
                <w:lang w:eastAsia="en-GB"/>
              </w:rPr>
            </w:pPr>
            <w:r w:rsidRPr="006B76B8">
              <w:rPr>
                <w:rFonts w:eastAsia="Times New Roman" w:cs="Helvetica"/>
                <w:lang w:eastAsia="en-GB"/>
              </w:rPr>
              <w:t>Regular, age and ability appropriate reading is vital for student’s development and allows them access to the wider curriculum.</w:t>
            </w:r>
          </w:p>
          <w:p w:rsidR="007D2E73" w:rsidRPr="006B76B8" w:rsidRDefault="007D2E73" w:rsidP="007D2E73">
            <w:pPr>
              <w:spacing w:line="360" w:lineRule="atLeast"/>
              <w:rPr>
                <w:rFonts w:eastAsia="Times New Roman" w:cs="Helvetica"/>
                <w:lang w:eastAsia="en-GB"/>
              </w:rPr>
            </w:pPr>
          </w:p>
        </w:tc>
        <w:tc>
          <w:tcPr>
            <w:tcW w:w="5820" w:type="dxa"/>
          </w:tcPr>
          <w:p w:rsidR="007D2E73"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 in literacy grades, attitude within the subject and increase in self-confidence. Improvement of behavior reports within subject.</w:t>
            </w:r>
          </w:p>
          <w:p w:rsidR="007D2E73" w:rsidRDefault="007D2E73" w:rsidP="003273E0">
            <w:pPr>
              <w:spacing w:line="360" w:lineRule="atLeast"/>
              <w:rPr>
                <w:rFonts w:eastAsia="Times New Roman" w:cs="Helvetica"/>
                <w:lang w:val="en-US" w:eastAsia="en-GB"/>
              </w:rPr>
            </w:pPr>
            <w:r>
              <w:rPr>
                <w:rFonts w:eastAsia="Times New Roman" w:cs="Helvetica"/>
                <w:lang w:val="en-US" w:eastAsia="en-GB"/>
              </w:rPr>
              <w:t>Improvement of speech sounds and oral answers.</w:t>
            </w:r>
            <w:r w:rsidRPr="006B76B8">
              <w:rPr>
                <w:rFonts w:eastAsia="Times New Roman" w:cs="Helvetica"/>
                <w:lang w:val="en-US" w:eastAsia="en-GB"/>
              </w:rPr>
              <w:t xml:space="preserve"> </w:t>
            </w:r>
          </w:p>
          <w:p w:rsidR="007D2E73" w:rsidRDefault="007D2E73" w:rsidP="003273E0">
            <w:pPr>
              <w:spacing w:line="360" w:lineRule="atLeast"/>
              <w:rPr>
                <w:rFonts w:eastAsia="Times New Roman" w:cs="Helvetica"/>
                <w:lang w:val="en-US" w:eastAsia="en-GB"/>
              </w:rPr>
            </w:pPr>
          </w:p>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tc>
        <w:tc>
          <w:tcPr>
            <w:tcW w:w="1685" w:type="dxa"/>
          </w:tcPr>
          <w:p w:rsidR="007D2E73" w:rsidRDefault="00A5759D" w:rsidP="003273E0">
            <w:pPr>
              <w:spacing w:line="360" w:lineRule="atLeast"/>
              <w:rPr>
                <w:rFonts w:eastAsia="Times New Roman" w:cs="Helvetica"/>
                <w:lang w:val="en-US" w:eastAsia="en-GB"/>
              </w:rPr>
            </w:pPr>
            <w:r>
              <w:rPr>
                <w:rFonts w:eastAsia="Times New Roman" w:cs="Helvetica"/>
                <w:lang w:val="en-US" w:eastAsia="en-GB"/>
              </w:rPr>
              <w:t>£2,520</w:t>
            </w: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Pr="006B76B8" w:rsidRDefault="00A5759D" w:rsidP="003273E0">
            <w:pPr>
              <w:spacing w:line="360" w:lineRule="atLeast"/>
              <w:rPr>
                <w:rFonts w:eastAsia="Times New Roman" w:cs="Helvetica"/>
                <w:lang w:val="en-US" w:eastAsia="en-GB"/>
              </w:rPr>
            </w:pPr>
            <w:r>
              <w:rPr>
                <w:rFonts w:eastAsia="Times New Roman" w:cs="Helvetica"/>
                <w:lang w:val="en-US" w:eastAsia="en-GB"/>
              </w:rPr>
              <w:t>£1,400</w:t>
            </w:r>
          </w:p>
        </w:tc>
      </w:tr>
      <w:tr w:rsidR="007D2E73" w:rsidRPr="006B76B8" w:rsidTr="00B53526">
        <w:trPr>
          <w:trHeight w:val="4355"/>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Catch-up Numeracy programmes or 1-1 intervention</w:t>
            </w: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w:t>
            </w:r>
          </w:p>
        </w:tc>
        <w:tc>
          <w:tcPr>
            <w:tcW w:w="4898" w:type="dxa"/>
          </w:tcPr>
          <w:p w:rsidR="007D2E73" w:rsidRDefault="007D2E73" w:rsidP="003273E0">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7D2E73" w:rsidRPr="006B76B8" w:rsidRDefault="007D2E73" w:rsidP="003273E0">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£2,275</w:t>
            </w:r>
          </w:p>
        </w:tc>
      </w:tr>
      <w:tr w:rsidR="007D2E73" w:rsidRPr="006B76B8" w:rsidTr="00B53526">
        <w:trPr>
          <w:trHeight w:val="1990"/>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ICT use and support</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£2,800</w:t>
            </w:r>
          </w:p>
        </w:tc>
      </w:tr>
      <w:tr w:rsidR="007D2E73" w:rsidRPr="006B76B8" w:rsidTr="00B53526">
        <w:trPr>
          <w:trHeight w:val="2041"/>
        </w:trPr>
        <w:tc>
          <w:tcPr>
            <w:tcW w:w="2602" w:type="dxa"/>
          </w:tcPr>
          <w:p w:rsidR="007D2E73" w:rsidRPr="006B76B8" w:rsidRDefault="007D2E73" w:rsidP="003273E0">
            <w:pPr>
              <w:spacing w:line="360" w:lineRule="atLeast"/>
              <w:rPr>
                <w:rFonts w:eastAsia="Times New Roman" w:cs="Helvetica"/>
                <w:lang w:eastAsia="en-GB"/>
              </w:rPr>
            </w:pPr>
            <w:r>
              <w:rPr>
                <w:rFonts w:eastAsia="Times New Roman" w:cs="Helvetica"/>
                <w:lang w:eastAsia="en-GB"/>
              </w:rPr>
              <w:t xml:space="preserve">SALT </w:t>
            </w:r>
            <w:r w:rsidRPr="006B76B8">
              <w:rPr>
                <w:rFonts w:eastAsia="Times New Roman" w:cs="Helvetica"/>
                <w:lang w:eastAsia="en-GB"/>
              </w:rPr>
              <w:t xml:space="preserve"> (delivery of social language groups)</w:t>
            </w:r>
          </w:p>
          <w:p w:rsidR="007D2E73" w:rsidRDefault="007D2E73" w:rsidP="003273E0">
            <w:pPr>
              <w:spacing w:line="360" w:lineRule="atLeast"/>
              <w:rPr>
                <w:rFonts w:eastAsia="Times New Roman" w:cs="Helvetica"/>
                <w:lang w:eastAsia="en-GB"/>
              </w:rPr>
            </w:pPr>
            <w:r w:rsidRPr="006B76B8">
              <w:rPr>
                <w:rFonts w:eastAsia="Times New Roman" w:cs="Helvetica"/>
                <w:lang w:eastAsia="en-GB"/>
              </w:rPr>
              <w:t> </w:t>
            </w: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Decoding programme/ additional literacy programme</w:t>
            </w:r>
          </w:p>
        </w:tc>
        <w:tc>
          <w:tcPr>
            <w:tcW w:w="4898" w:type="dxa"/>
          </w:tcPr>
          <w:p w:rsidR="007D2E73"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 xml:space="preserve">The delivery of extra SALT groups/support allows our students to make faster progress than they would if this resource was funded at the expected level. </w:t>
            </w: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Smaller groups mean that students have more personalised attention and can therefore learn at a faster rate.</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685" w:type="dxa"/>
          </w:tcPr>
          <w:p w:rsidR="007D2E73" w:rsidRDefault="00A5759D" w:rsidP="003273E0">
            <w:pPr>
              <w:spacing w:line="360" w:lineRule="atLeast"/>
              <w:rPr>
                <w:rFonts w:eastAsia="Times New Roman" w:cs="Helvetica"/>
                <w:lang w:val="en-US" w:eastAsia="en-GB"/>
              </w:rPr>
            </w:pPr>
            <w:r>
              <w:rPr>
                <w:rFonts w:eastAsia="Times New Roman" w:cs="Helvetica"/>
                <w:lang w:val="en-US" w:eastAsia="en-GB"/>
              </w:rPr>
              <w:t>£44,800</w:t>
            </w: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Default="00A5759D" w:rsidP="003273E0">
            <w:pPr>
              <w:spacing w:line="360" w:lineRule="atLeast"/>
              <w:rPr>
                <w:rFonts w:eastAsia="Times New Roman" w:cs="Helvetica"/>
                <w:lang w:val="en-US" w:eastAsia="en-GB"/>
              </w:rPr>
            </w:pPr>
          </w:p>
          <w:p w:rsidR="00A5759D" w:rsidRPr="006B76B8" w:rsidRDefault="00A5759D" w:rsidP="003273E0">
            <w:pPr>
              <w:spacing w:line="360" w:lineRule="atLeast"/>
              <w:rPr>
                <w:rFonts w:eastAsia="Times New Roman" w:cs="Helvetica"/>
                <w:lang w:val="en-US" w:eastAsia="en-GB"/>
              </w:rPr>
            </w:pPr>
            <w:r>
              <w:rPr>
                <w:rFonts w:eastAsia="Times New Roman" w:cs="Helvetica"/>
                <w:lang w:val="en-US" w:eastAsia="en-GB"/>
              </w:rPr>
              <w:t>£2,600</w:t>
            </w:r>
          </w:p>
        </w:tc>
      </w:tr>
      <w:tr w:rsidR="007D2E73" w:rsidRPr="006B76B8" w:rsidTr="00B53526">
        <w:trPr>
          <w:trHeight w:val="2364"/>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Additional activities transport and taxis to support social development</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£300</w:t>
            </w:r>
          </w:p>
        </w:tc>
      </w:tr>
      <w:tr w:rsidR="007D2E73" w:rsidRPr="006B76B8" w:rsidTr="00B53526">
        <w:trPr>
          <w:trHeight w:val="2687"/>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Staffing to implement supported internship programme</w:t>
            </w:r>
            <w:r>
              <w:rPr>
                <w:rFonts w:eastAsia="Times New Roman" w:cs="Helvetica"/>
                <w:lang w:eastAsia="en-GB"/>
              </w:rPr>
              <w:t xml:space="preserve"> and work experience</w:t>
            </w: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£1,650</w:t>
            </w:r>
          </w:p>
        </w:tc>
      </w:tr>
      <w:tr w:rsidR="007D2E73" w:rsidRPr="006B76B8" w:rsidTr="00B53526">
        <w:trPr>
          <w:trHeight w:val="1816"/>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Staffing to mentor pupils/ social interaction support/ counselling</w:t>
            </w:r>
            <w:r w:rsidR="00174AE6">
              <w:rPr>
                <w:rFonts w:eastAsia="Times New Roman" w:cs="Helvetica"/>
                <w:lang w:eastAsia="en-GB"/>
              </w:rPr>
              <w:t>/talk time</w:t>
            </w: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xml:space="preserve">Targeted behaviour </w:t>
            </w:r>
            <w:r w:rsidRPr="006B76B8">
              <w:rPr>
                <w:rFonts w:eastAsia="Times New Roman" w:cs="Helvetica"/>
                <w:lang w:eastAsia="en-GB"/>
              </w:rPr>
              <w:lastRenderedPageBreak/>
              <w:t>support</w:t>
            </w:r>
          </w:p>
        </w:tc>
        <w:tc>
          <w:tcPr>
            <w:tcW w:w="4898" w:type="dxa"/>
          </w:tcPr>
          <w:p w:rsidR="007D2E73" w:rsidRPr="006B76B8" w:rsidRDefault="007D2E73" w:rsidP="00343F38">
            <w:pPr>
              <w:spacing w:line="360" w:lineRule="atLeast"/>
              <w:rPr>
                <w:rFonts w:eastAsia="Times New Roman" w:cs="Helvetica"/>
                <w:lang w:eastAsia="en-GB"/>
              </w:rPr>
            </w:pPr>
            <w:r w:rsidRPr="006B76B8">
              <w:rPr>
                <w:rFonts w:eastAsia="Times New Roman" w:cs="Helvetica"/>
                <w:lang w:eastAsia="en-GB"/>
              </w:rPr>
              <w:lastRenderedPageBreak/>
              <w:t xml:space="preserve">This is a vital area of support for our school. We have a high proportion of students with social, emotional and/or behaviour needs and a space to talk and be supported allows them to focus when they are in a learning environment. It also reduces </w:t>
            </w:r>
            <w:r w:rsidRPr="006B76B8">
              <w:rPr>
                <w:rFonts w:eastAsia="Times New Roman" w:cs="Helvetica"/>
                <w:lang w:eastAsia="en-GB"/>
              </w:rPr>
              <w:lastRenderedPageBreak/>
              <w:t xml:space="preserve">anxieties and helps students feel safe. </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lastRenderedPageBreak/>
              <w:t>More social interaction, positive relationships forming, less behavior reports and increase in attainment.</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£2,600</w:t>
            </w:r>
          </w:p>
          <w:p w:rsidR="007D2E73" w:rsidRPr="006B76B8" w:rsidRDefault="007D2E73" w:rsidP="003273E0">
            <w:pPr>
              <w:spacing w:line="360" w:lineRule="atLeast"/>
              <w:rPr>
                <w:rFonts w:eastAsia="Times New Roman" w:cs="Helvetica"/>
                <w:lang w:val="en-US" w:eastAsia="en-GB"/>
              </w:rPr>
            </w:pPr>
          </w:p>
          <w:p w:rsidR="007D2E73" w:rsidRPr="006B76B8" w:rsidRDefault="007D2E73" w:rsidP="003273E0">
            <w:pPr>
              <w:spacing w:line="360" w:lineRule="atLeast"/>
              <w:rPr>
                <w:rFonts w:eastAsia="Times New Roman" w:cs="Helvetica"/>
                <w:lang w:val="en-US" w:eastAsia="en-GB"/>
              </w:rPr>
            </w:pPr>
          </w:p>
          <w:p w:rsidR="007D2E73" w:rsidRDefault="007D2E73" w:rsidP="003273E0">
            <w:pPr>
              <w:spacing w:line="360" w:lineRule="atLeast"/>
              <w:rPr>
                <w:rFonts w:eastAsia="Times New Roman" w:cs="Helvetica"/>
                <w:lang w:val="en-US" w:eastAsia="en-GB"/>
              </w:rPr>
            </w:pPr>
          </w:p>
          <w:p w:rsidR="00A5759D" w:rsidRPr="006B76B8" w:rsidRDefault="00A5759D" w:rsidP="003273E0">
            <w:pPr>
              <w:spacing w:line="360" w:lineRule="atLeast"/>
              <w:rPr>
                <w:rFonts w:eastAsia="Times New Roman" w:cs="Helvetica"/>
                <w:lang w:val="en-US" w:eastAsia="en-GB"/>
              </w:rPr>
            </w:pPr>
            <w:r>
              <w:rPr>
                <w:rFonts w:eastAsia="Times New Roman" w:cs="Helvetica"/>
                <w:lang w:val="en-US" w:eastAsia="en-GB"/>
              </w:rPr>
              <w:lastRenderedPageBreak/>
              <w:t>£3,750</w:t>
            </w:r>
          </w:p>
          <w:p w:rsidR="007D2E73" w:rsidRPr="006B76B8" w:rsidRDefault="007D2E73" w:rsidP="003273E0">
            <w:pPr>
              <w:spacing w:line="360" w:lineRule="atLeast"/>
              <w:rPr>
                <w:rFonts w:eastAsia="Times New Roman" w:cs="Helvetica"/>
                <w:lang w:val="en-US" w:eastAsia="en-GB"/>
              </w:rPr>
            </w:pPr>
          </w:p>
          <w:p w:rsidR="007D2E73" w:rsidRPr="006B76B8" w:rsidRDefault="007D2E73" w:rsidP="003273E0">
            <w:pPr>
              <w:spacing w:line="360" w:lineRule="atLeast"/>
              <w:rPr>
                <w:rFonts w:eastAsia="Times New Roman" w:cs="Helvetica"/>
                <w:lang w:val="en-US" w:eastAsia="en-GB"/>
              </w:rPr>
            </w:pPr>
          </w:p>
        </w:tc>
      </w:tr>
      <w:tr w:rsidR="007D2E73" w:rsidRPr="006B76B8" w:rsidTr="00B53526">
        <w:trPr>
          <w:trHeight w:val="1617"/>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lastRenderedPageBreak/>
              <w:t>Alternative Timetable</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£2,275</w:t>
            </w:r>
          </w:p>
        </w:tc>
      </w:tr>
      <w:tr w:rsidR="007D2E73" w:rsidRPr="006B76B8" w:rsidTr="00B53526">
        <w:trPr>
          <w:trHeight w:val="1643"/>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Targeted LSA/teacher support</w:t>
            </w:r>
          </w:p>
        </w:tc>
        <w:tc>
          <w:tcPr>
            <w:tcW w:w="4898" w:type="dxa"/>
          </w:tcPr>
          <w:p w:rsidR="007D2E73" w:rsidRPr="006B76B8" w:rsidRDefault="007D2E73" w:rsidP="00343F38">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sidR="00343F38">
              <w:rPr>
                <w:rFonts w:eastAsia="Times New Roman" w:cs="Helvetica"/>
                <w:lang w:eastAsia="en-GB"/>
              </w:rPr>
              <w:t>the classroom.</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 xml:space="preserve">Increase in attainment levels, ability to access lessons and improvement of self-confidence within subjects. </w:t>
            </w:r>
            <w:r w:rsidR="00343F38" w:rsidRPr="006B76B8">
              <w:rPr>
                <w:rFonts w:eastAsia="Times New Roman" w:cs="Helvetica"/>
                <w:lang w:val="en-US" w:eastAsia="en-GB"/>
              </w:rPr>
              <w:t>Fewer interventions</w:t>
            </w:r>
            <w:r w:rsidRPr="006B76B8">
              <w:rPr>
                <w:rFonts w:eastAsia="Times New Roman" w:cs="Helvetica"/>
                <w:lang w:val="en-US" w:eastAsia="en-GB"/>
              </w:rPr>
              <w:t xml:space="preserve"> needed to improve progress.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£1,900</w:t>
            </w:r>
          </w:p>
        </w:tc>
      </w:tr>
      <w:tr w:rsidR="007D2E73" w:rsidRPr="006B76B8" w:rsidTr="00B53526">
        <w:trPr>
          <w:trHeight w:val="2215"/>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 xml:space="preserve">Tutoring </w:t>
            </w: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p>
          <w:p w:rsidR="007D2E73" w:rsidRPr="006B76B8" w:rsidRDefault="007D2E73" w:rsidP="003273E0">
            <w:pPr>
              <w:spacing w:line="360" w:lineRule="atLeast"/>
              <w:rPr>
                <w:rFonts w:eastAsia="Times New Roman" w:cs="Helvetica"/>
                <w:lang w:eastAsia="en-GB"/>
              </w:rPr>
            </w:pPr>
          </w:p>
        </w:tc>
        <w:tc>
          <w:tcPr>
            <w:tcW w:w="4898" w:type="dxa"/>
          </w:tcPr>
          <w:p w:rsidR="007D2E73" w:rsidRPr="006B76B8" w:rsidRDefault="007D2E73" w:rsidP="00343F38">
            <w:pPr>
              <w:spacing w:line="360" w:lineRule="atLeast"/>
              <w:rPr>
                <w:rFonts w:eastAsia="Times New Roman" w:cs="Helvetica"/>
                <w:lang w:eastAsia="en-GB"/>
              </w:rPr>
            </w:pPr>
            <w:r w:rsidRPr="006B76B8">
              <w:rPr>
                <w:rFonts w:eastAsia="Times New Roman" w:cs="Helvetica"/>
                <w:lang w:eastAsia="en-GB"/>
              </w:rPr>
              <w:t>Pupils receiving tutoring support have shown significant improvement in their a</w:t>
            </w:r>
            <w:r w:rsidR="00343F38">
              <w:rPr>
                <w:rFonts w:eastAsia="Times New Roman" w:cs="Helvetica"/>
                <w:lang w:eastAsia="en-GB"/>
              </w:rPr>
              <w:t>ttainment for that subject area</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Increase of attainment and p</w:t>
            </w:r>
            <w:r w:rsidR="00343F38">
              <w:rPr>
                <w:rFonts w:eastAsia="Times New Roman" w:cs="Helvetica"/>
                <w:lang w:val="en-US" w:eastAsia="en-GB"/>
              </w:rPr>
              <w:t>ersonal development of students</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£2,320</w:t>
            </w:r>
          </w:p>
        </w:tc>
      </w:tr>
      <w:tr w:rsidR="00343F38" w:rsidRPr="006B76B8" w:rsidTr="00B53526">
        <w:trPr>
          <w:trHeight w:val="1542"/>
        </w:trPr>
        <w:tc>
          <w:tcPr>
            <w:tcW w:w="2602" w:type="dxa"/>
          </w:tcPr>
          <w:p w:rsidR="00343F38" w:rsidRPr="006B76B8" w:rsidRDefault="00343F38" w:rsidP="003273E0">
            <w:pPr>
              <w:spacing w:line="360" w:lineRule="atLeast"/>
              <w:rPr>
                <w:rFonts w:eastAsia="Times New Roman" w:cs="Helvetica"/>
                <w:lang w:eastAsia="en-GB"/>
              </w:rPr>
            </w:pPr>
            <w:r>
              <w:rPr>
                <w:rFonts w:eastAsia="Times New Roman" w:cs="Helvetica"/>
                <w:lang w:eastAsia="en-GB"/>
              </w:rPr>
              <w:t>Outdoor activities programme</w:t>
            </w:r>
          </w:p>
        </w:tc>
        <w:tc>
          <w:tcPr>
            <w:tcW w:w="4898" w:type="dxa"/>
          </w:tcPr>
          <w:p w:rsidR="00343F38" w:rsidRPr="006B76B8" w:rsidRDefault="00F76210" w:rsidP="003273E0">
            <w:r>
              <w:t>Students who are unable to cope with a classroom environment seem to develop skills when completing activities outside of the classroom around the school. It gi</w:t>
            </w:r>
            <w:r w:rsidR="00C4770A">
              <w:t>ves the student a sense</w:t>
            </w:r>
            <w:r>
              <w:t xml:space="preserve"> of responsibility and initiates a positive relations</w:t>
            </w:r>
            <w:r w:rsidR="00C4770A">
              <w:t>hip</w:t>
            </w:r>
            <w:r>
              <w:t xml:space="preserve"> between staff and student. Also this helps to reduce </w:t>
            </w:r>
            <w:r>
              <w:lastRenderedPageBreak/>
              <w:t>anxiety and develops life skills.</w:t>
            </w:r>
          </w:p>
        </w:tc>
        <w:tc>
          <w:tcPr>
            <w:tcW w:w="5820" w:type="dxa"/>
          </w:tcPr>
          <w:p w:rsidR="00343F38" w:rsidRPr="006B76B8" w:rsidRDefault="00690263" w:rsidP="003273E0">
            <w:pPr>
              <w:spacing w:line="360" w:lineRule="atLeast"/>
            </w:pPr>
            <w:r>
              <w:lastRenderedPageBreak/>
              <w:t>Personal development and reduced referrals; students more focused and engaged.</w:t>
            </w:r>
            <w:r w:rsidR="00F76210">
              <w:t xml:space="preserve"> </w:t>
            </w:r>
          </w:p>
        </w:tc>
        <w:tc>
          <w:tcPr>
            <w:tcW w:w="1685" w:type="dxa"/>
          </w:tcPr>
          <w:p w:rsidR="00343F38" w:rsidRPr="006B76B8" w:rsidRDefault="00A5759D" w:rsidP="003273E0">
            <w:pPr>
              <w:spacing w:line="360" w:lineRule="atLeast"/>
              <w:rPr>
                <w:rFonts w:eastAsia="Times New Roman" w:cs="Helvetica"/>
                <w:lang w:val="en-US" w:eastAsia="en-GB"/>
              </w:rPr>
            </w:pPr>
            <w:r>
              <w:rPr>
                <w:rFonts w:eastAsia="Times New Roman" w:cs="Helvetica"/>
                <w:lang w:val="en-US" w:eastAsia="en-GB"/>
              </w:rPr>
              <w:t>£2,800</w:t>
            </w:r>
          </w:p>
        </w:tc>
      </w:tr>
      <w:tr w:rsidR="00343F38" w:rsidRPr="006B76B8" w:rsidTr="00B53526">
        <w:trPr>
          <w:trHeight w:val="1269"/>
        </w:trPr>
        <w:tc>
          <w:tcPr>
            <w:tcW w:w="2602" w:type="dxa"/>
          </w:tcPr>
          <w:p w:rsidR="00343F38" w:rsidRPr="006B76B8" w:rsidRDefault="00343F38" w:rsidP="003273E0">
            <w:pPr>
              <w:spacing w:line="360" w:lineRule="atLeast"/>
              <w:rPr>
                <w:rFonts w:eastAsia="Times New Roman" w:cs="Helvetica"/>
                <w:lang w:eastAsia="en-GB"/>
              </w:rPr>
            </w:pPr>
            <w:r>
              <w:rPr>
                <w:rFonts w:eastAsia="Times New Roman" w:cs="Helvetica"/>
                <w:lang w:eastAsia="en-GB"/>
              </w:rPr>
              <w:t>Staff training for delivering specific strategies</w:t>
            </w:r>
          </w:p>
        </w:tc>
        <w:tc>
          <w:tcPr>
            <w:tcW w:w="4898" w:type="dxa"/>
          </w:tcPr>
          <w:p w:rsidR="00343F38" w:rsidRPr="006B76B8" w:rsidRDefault="00753EBC" w:rsidP="003273E0">
            <w:r>
              <w:t>Training to be provided for staff implementing specific initiatives or delivering specialised programmes to ensure success.</w:t>
            </w:r>
          </w:p>
        </w:tc>
        <w:tc>
          <w:tcPr>
            <w:tcW w:w="5820" w:type="dxa"/>
          </w:tcPr>
          <w:p w:rsidR="00343F38" w:rsidRPr="006B76B8" w:rsidRDefault="00301CB8" w:rsidP="003273E0">
            <w:pPr>
              <w:spacing w:line="360" w:lineRule="atLeast"/>
            </w:pPr>
            <w:r>
              <w:t>Improvement in attainment levels and development of student social, emotional well-being.</w:t>
            </w:r>
          </w:p>
        </w:tc>
        <w:tc>
          <w:tcPr>
            <w:tcW w:w="1685" w:type="dxa"/>
          </w:tcPr>
          <w:p w:rsidR="00343F38" w:rsidRPr="006B76B8" w:rsidRDefault="00A5759D" w:rsidP="003273E0">
            <w:pPr>
              <w:spacing w:line="360" w:lineRule="atLeast"/>
              <w:rPr>
                <w:rFonts w:eastAsia="Times New Roman" w:cs="Helvetica"/>
                <w:lang w:val="en-US" w:eastAsia="en-GB"/>
              </w:rPr>
            </w:pPr>
            <w:r>
              <w:rPr>
                <w:rFonts w:eastAsia="Times New Roman" w:cs="Helvetica"/>
                <w:lang w:val="en-US" w:eastAsia="en-GB"/>
              </w:rPr>
              <w:t>£6,880</w:t>
            </w:r>
          </w:p>
        </w:tc>
      </w:tr>
      <w:tr w:rsidR="007D2E73" w:rsidRPr="006B76B8" w:rsidTr="00B53526">
        <w:trPr>
          <w:trHeight w:val="1667"/>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4898" w:type="dxa"/>
          </w:tcPr>
          <w:p w:rsidR="007D2E73" w:rsidRPr="006B76B8" w:rsidRDefault="007D2E73" w:rsidP="003273E0">
            <w:r w:rsidRPr="006B76B8">
              <w:t>To develop skills of particular interest of the student and promote a positive learning environment.</w:t>
            </w:r>
          </w:p>
          <w:p w:rsidR="007D2E73" w:rsidRPr="006B76B8" w:rsidRDefault="007D2E73" w:rsidP="003273E0">
            <w:pPr>
              <w:spacing w:line="360" w:lineRule="atLeast"/>
              <w:rPr>
                <w:rFonts w:eastAsia="Times New Roman" w:cs="Helvetica"/>
                <w:lang w:eastAsia="en-GB"/>
              </w:rPr>
            </w:pPr>
          </w:p>
        </w:tc>
        <w:tc>
          <w:tcPr>
            <w:tcW w:w="5820" w:type="dxa"/>
          </w:tcPr>
          <w:p w:rsidR="007D2E73" w:rsidRPr="006B76B8" w:rsidRDefault="007D2E73" w:rsidP="003273E0">
            <w:pPr>
              <w:spacing w:line="360" w:lineRule="atLeast"/>
              <w:rPr>
                <w:rFonts w:eastAsia="Times New Roman" w:cs="Helvetica"/>
                <w:lang w:val="en-US" w:eastAsia="en-GB"/>
              </w:rPr>
            </w:pPr>
            <w:r w:rsidRPr="006B76B8">
              <w:t xml:space="preserve">Increases well-being and </w:t>
            </w:r>
            <w:r w:rsidR="00343F38" w:rsidRPr="006B76B8">
              <w:t>encourage</w:t>
            </w:r>
            <w:r w:rsidRPr="006B76B8">
              <w:t xml:space="preserve"> participation, more social interactions and more positive learning attitude. </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£1,570</w:t>
            </w:r>
          </w:p>
        </w:tc>
      </w:tr>
      <w:tr w:rsidR="007D2E73" w:rsidRPr="006B76B8" w:rsidTr="00B53526">
        <w:trPr>
          <w:trHeight w:val="896"/>
        </w:trPr>
        <w:tc>
          <w:tcPr>
            <w:tcW w:w="2602"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Food/diet support</w:t>
            </w:r>
          </w:p>
        </w:tc>
        <w:tc>
          <w:tcPr>
            <w:tcW w:w="4898" w:type="dxa"/>
          </w:tcPr>
          <w:p w:rsidR="007D2E73" w:rsidRPr="006B76B8" w:rsidRDefault="007D2E73" w:rsidP="003273E0">
            <w:pPr>
              <w:spacing w:line="360" w:lineRule="atLeast"/>
              <w:rPr>
                <w:rFonts w:eastAsia="Times New Roman" w:cs="Helvetica"/>
                <w:lang w:eastAsia="en-GB"/>
              </w:rPr>
            </w:pPr>
            <w:r w:rsidRPr="006B76B8">
              <w:rPr>
                <w:rFonts w:eastAsia="Times New Roman" w:cs="Helvetica"/>
                <w:lang w:eastAsia="en-GB"/>
              </w:rPr>
              <w:t>Students need support with their diets.</w:t>
            </w:r>
          </w:p>
        </w:tc>
        <w:tc>
          <w:tcPr>
            <w:tcW w:w="5820" w:type="dxa"/>
          </w:tcPr>
          <w:p w:rsidR="007D2E73" w:rsidRPr="006B76B8" w:rsidRDefault="007D2E73" w:rsidP="003273E0">
            <w:pPr>
              <w:spacing w:line="360" w:lineRule="atLeast"/>
              <w:rPr>
                <w:rFonts w:eastAsia="Times New Roman" w:cs="Helvetica"/>
                <w:lang w:val="en-US" w:eastAsia="en-GB"/>
              </w:rPr>
            </w:pPr>
            <w:r w:rsidRPr="006B76B8">
              <w:rPr>
                <w:rFonts w:eastAsia="Times New Roman" w:cs="Helvetica"/>
                <w:lang w:val="en-US" w:eastAsia="en-GB"/>
              </w:rPr>
              <w:t>Students putting on weight and/or maintaining weight. Improvement in physical health.</w:t>
            </w:r>
          </w:p>
        </w:tc>
        <w:tc>
          <w:tcPr>
            <w:tcW w:w="1685" w:type="dxa"/>
          </w:tcPr>
          <w:p w:rsidR="007D2E73" w:rsidRPr="006B76B8" w:rsidRDefault="00A5759D" w:rsidP="003273E0">
            <w:pPr>
              <w:spacing w:line="360" w:lineRule="atLeast"/>
              <w:rPr>
                <w:rFonts w:eastAsia="Times New Roman" w:cs="Helvetica"/>
                <w:lang w:val="en-US" w:eastAsia="en-GB"/>
              </w:rPr>
            </w:pPr>
            <w:r>
              <w:rPr>
                <w:rFonts w:eastAsia="Times New Roman" w:cs="Helvetica"/>
                <w:lang w:val="en-US" w:eastAsia="en-GB"/>
              </w:rPr>
              <w:t>£540</w:t>
            </w:r>
          </w:p>
        </w:tc>
      </w:tr>
    </w:tbl>
    <w:p w:rsidR="007D2E73" w:rsidRDefault="007D2E73"/>
    <w:p w:rsidR="00690263" w:rsidRPr="006B76B8" w:rsidRDefault="00690263" w:rsidP="00690263">
      <w:r>
        <w:t>The amount of money intended</w:t>
      </w:r>
      <w:r w:rsidRPr="006B76B8">
        <w:t xml:space="preserve"> to be spent on PPF students by SDS</w:t>
      </w:r>
      <w:r>
        <w:t xml:space="preserve"> 2017-18</w:t>
      </w:r>
      <w:r w:rsidRPr="006B76B8">
        <w:t xml:space="preserve"> totals at </w:t>
      </w:r>
      <w:r w:rsidR="00A5759D">
        <w:t xml:space="preserve">£89,105 which is an overspend £25,251 </w:t>
      </w:r>
      <w:r w:rsidRPr="006B76B8">
        <w:t>of the funding received by the school.</w:t>
      </w:r>
    </w:p>
    <w:p w:rsidR="00690263" w:rsidRDefault="00C2628B">
      <w:r>
        <w:t xml:space="preserve">In addition to the above initiatives, subjects have </w:t>
      </w:r>
      <w:r w:rsidR="00783F68">
        <w:t>their own</w:t>
      </w:r>
      <w:r>
        <w:t xml:space="preserve"> </w:t>
      </w:r>
      <w:r w:rsidR="00707293">
        <w:t>specific initiatives</w:t>
      </w:r>
      <w:r>
        <w:t xml:space="preserve"> to aid development of the skills and attainment within the subject, see some examples below:</w:t>
      </w:r>
    </w:p>
    <w:tbl>
      <w:tblPr>
        <w:tblStyle w:val="TableGrid"/>
        <w:tblW w:w="0" w:type="auto"/>
        <w:tblLook w:val="04A0" w:firstRow="1" w:lastRow="0" w:firstColumn="1" w:lastColumn="0" w:noHBand="0" w:noVBand="1"/>
      </w:tblPr>
      <w:tblGrid>
        <w:gridCol w:w="4621"/>
        <w:gridCol w:w="8841"/>
      </w:tblGrid>
      <w:tr w:rsidR="00DC6E55" w:rsidTr="00514217">
        <w:tc>
          <w:tcPr>
            <w:tcW w:w="4621" w:type="dxa"/>
          </w:tcPr>
          <w:p w:rsidR="00DC6E55" w:rsidRDefault="00DC6E55" w:rsidP="003273E0">
            <w:r>
              <w:t>Science</w:t>
            </w:r>
          </w:p>
        </w:tc>
        <w:tc>
          <w:tcPr>
            <w:tcW w:w="8841" w:type="dxa"/>
          </w:tcPr>
          <w:p w:rsidR="00DC6E55" w:rsidRDefault="00DC6E55" w:rsidP="00DC6E55">
            <w:pPr>
              <w:pStyle w:val="ListParagraph"/>
              <w:numPr>
                <w:ilvl w:val="0"/>
                <w:numId w:val="1"/>
              </w:numPr>
              <w:spacing w:after="0" w:line="240" w:lineRule="auto"/>
            </w:pPr>
            <w:r>
              <w:t>Laptops to help literacy skills</w:t>
            </w:r>
          </w:p>
          <w:p w:rsidR="00DC6E55" w:rsidRDefault="00DC6E55" w:rsidP="00DC6E55">
            <w:pPr>
              <w:pStyle w:val="ListParagraph"/>
              <w:numPr>
                <w:ilvl w:val="0"/>
                <w:numId w:val="1"/>
              </w:numPr>
              <w:spacing w:after="0" w:line="240" w:lineRule="auto"/>
            </w:pPr>
            <w:r>
              <w:t>Strategic seating plans</w:t>
            </w:r>
          </w:p>
          <w:p w:rsidR="00DC6E55" w:rsidRDefault="00DC6E55" w:rsidP="00DC6E55">
            <w:pPr>
              <w:pStyle w:val="ListParagraph"/>
              <w:numPr>
                <w:ilvl w:val="0"/>
                <w:numId w:val="1"/>
              </w:numPr>
              <w:spacing w:after="0" w:line="240" w:lineRule="auto"/>
            </w:pPr>
            <w:r>
              <w:t>Individual schedules</w:t>
            </w:r>
          </w:p>
          <w:p w:rsidR="00DC6E55" w:rsidRDefault="00DC6E55" w:rsidP="00DC6E55">
            <w:pPr>
              <w:pStyle w:val="ListParagraph"/>
              <w:numPr>
                <w:ilvl w:val="0"/>
                <w:numId w:val="1"/>
              </w:numPr>
              <w:spacing w:after="0" w:line="240" w:lineRule="auto"/>
            </w:pPr>
            <w:r>
              <w:t>Break down of task into smaller steps</w:t>
            </w:r>
          </w:p>
          <w:p w:rsidR="00DC6E55" w:rsidRDefault="00DC6E55" w:rsidP="00DC6E55">
            <w:pPr>
              <w:pStyle w:val="ListParagraph"/>
              <w:numPr>
                <w:ilvl w:val="0"/>
                <w:numId w:val="1"/>
              </w:numPr>
              <w:spacing w:after="0" w:line="240" w:lineRule="auto"/>
            </w:pPr>
            <w:r>
              <w:t>Use of online code for GCSE revision book</w:t>
            </w:r>
          </w:p>
          <w:p w:rsidR="00DC6E55" w:rsidRDefault="00DC6E55" w:rsidP="00DC6E55">
            <w:pPr>
              <w:pStyle w:val="ListParagraph"/>
              <w:numPr>
                <w:ilvl w:val="0"/>
                <w:numId w:val="1"/>
              </w:numPr>
              <w:spacing w:after="0" w:line="240" w:lineRule="auto"/>
            </w:pPr>
            <w:r>
              <w:t>Catch up time and extra support during GOAL includes GCSE support</w:t>
            </w:r>
          </w:p>
          <w:p w:rsidR="00DC6E55" w:rsidRDefault="00DC6E55" w:rsidP="00DC6E55">
            <w:pPr>
              <w:pStyle w:val="ListParagraph"/>
              <w:numPr>
                <w:ilvl w:val="0"/>
                <w:numId w:val="1"/>
              </w:numPr>
              <w:spacing w:after="0" w:line="240" w:lineRule="auto"/>
            </w:pPr>
            <w:r>
              <w:t>1:1 support for practical skills</w:t>
            </w:r>
          </w:p>
          <w:p w:rsidR="00DC6E55" w:rsidRDefault="00DC6E55" w:rsidP="003273E0">
            <w:pPr>
              <w:pStyle w:val="ListParagraph"/>
              <w:numPr>
                <w:ilvl w:val="0"/>
                <w:numId w:val="1"/>
              </w:numPr>
              <w:spacing w:after="0" w:line="240" w:lineRule="auto"/>
            </w:pPr>
            <w:r>
              <w:t>Keyword/topic books to be used as support or as challenge</w:t>
            </w:r>
          </w:p>
        </w:tc>
      </w:tr>
      <w:tr w:rsidR="00DC6E55" w:rsidTr="00514217">
        <w:tc>
          <w:tcPr>
            <w:tcW w:w="4621" w:type="dxa"/>
          </w:tcPr>
          <w:p w:rsidR="00DC6E55" w:rsidRDefault="00DC6E55" w:rsidP="003273E0">
            <w:r>
              <w:lastRenderedPageBreak/>
              <w:t>Food Technology</w:t>
            </w:r>
          </w:p>
        </w:tc>
        <w:tc>
          <w:tcPr>
            <w:tcW w:w="8841" w:type="dxa"/>
          </w:tcPr>
          <w:p w:rsidR="00DC6E55" w:rsidRDefault="00DC6E55" w:rsidP="00DC6E55">
            <w:pPr>
              <w:pStyle w:val="ListParagraph"/>
              <w:numPr>
                <w:ilvl w:val="0"/>
                <w:numId w:val="6"/>
              </w:numPr>
              <w:spacing w:after="0" w:line="240" w:lineRule="auto"/>
            </w:pPr>
            <w:r>
              <w:t>Follow whole school strategies</w:t>
            </w:r>
          </w:p>
          <w:p w:rsidR="00DC6E55" w:rsidRDefault="00DC6E55" w:rsidP="00DC6E55">
            <w:pPr>
              <w:pStyle w:val="ListParagraph"/>
              <w:numPr>
                <w:ilvl w:val="0"/>
                <w:numId w:val="6"/>
              </w:numPr>
              <w:spacing w:after="0" w:line="240" w:lineRule="auto"/>
            </w:pPr>
            <w:r>
              <w:t>Packs given with recipe and ingredients for students to try at home</w:t>
            </w:r>
          </w:p>
        </w:tc>
      </w:tr>
      <w:tr w:rsidR="00DC6E55" w:rsidTr="00514217">
        <w:tc>
          <w:tcPr>
            <w:tcW w:w="4621" w:type="dxa"/>
          </w:tcPr>
          <w:p w:rsidR="00DC6E55" w:rsidRDefault="00DC6E55" w:rsidP="003273E0">
            <w:r>
              <w:t>Art</w:t>
            </w:r>
          </w:p>
        </w:tc>
        <w:tc>
          <w:tcPr>
            <w:tcW w:w="8841" w:type="dxa"/>
          </w:tcPr>
          <w:p w:rsidR="00DC6E55" w:rsidRDefault="00DC6E55" w:rsidP="00DC6E55">
            <w:pPr>
              <w:pStyle w:val="ListParagraph"/>
              <w:numPr>
                <w:ilvl w:val="0"/>
                <w:numId w:val="2"/>
              </w:numPr>
              <w:spacing w:after="0" w:line="240" w:lineRule="auto"/>
            </w:pPr>
            <w:r>
              <w:t>Art club for catch up</w:t>
            </w:r>
          </w:p>
          <w:p w:rsidR="00DC6E55" w:rsidRDefault="00DC6E55" w:rsidP="00DC6E55">
            <w:pPr>
              <w:pStyle w:val="ListParagraph"/>
              <w:numPr>
                <w:ilvl w:val="0"/>
                <w:numId w:val="2"/>
              </w:numPr>
              <w:spacing w:after="0" w:line="240" w:lineRule="auto"/>
            </w:pPr>
            <w:r>
              <w:t>1:1 support</w:t>
            </w:r>
          </w:p>
          <w:p w:rsidR="00DC6E55" w:rsidRDefault="00DC6E55" w:rsidP="00DC6E55">
            <w:pPr>
              <w:pStyle w:val="ListParagraph"/>
              <w:numPr>
                <w:ilvl w:val="0"/>
                <w:numId w:val="2"/>
              </w:numPr>
              <w:spacing w:after="0" w:line="240" w:lineRule="auto"/>
            </w:pPr>
            <w:r>
              <w:t>Possible outside tutors</w:t>
            </w:r>
          </w:p>
          <w:p w:rsidR="00DC6E55" w:rsidRDefault="00DC6E55" w:rsidP="00DC6E55">
            <w:pPr>
              <w:pStyle w:val="ListParagraph"/>
              <w:numPr>
                <w:ilvl w:val="0"/>
                <w:numId w:val="2"/>
              </w:numPr>
              <w:spacing w:after="0" w:line="240" w:lineRule="auto"/>
            </w:pPr>
            <w:r>
              <w:t>Art packages/ distribution of specialist stationary for more able/ students that need it</w:t>
            </w:r>
          </w:p>
          <w:p w:rsidR="00DC6E55" w:rsidRDefault="00DC6E55" w:rsidP="00DC6E55">
            <w:pPr>
              <w:pStyle w:val="ListParagraph"/>
              <w:numPr>
                <w:ilvl w:val="0"/>
                <w:numId w:val="2"/>
              </w:numPr>
              <w:spacing w:after="0" w:line="240" w:lineRule="auto"/>
            </w:pPr>
            <w:r>
              <w:t>Differentiated resources and support</w:t>
            </w:r>
          </w:p>
        </w:tc>
      </w:tr>
    </w:tbl>
    <w:p w:rsidR="00DC6E55" w:rsidRDefault="00DC6E55"/>
    <w:p w:rsidR="00C2628B" w:rsidRDefault="00864D9D">
      <w:r>
        <w:t>All</w:t>
      </w:r>
      <w:r w:rsidR="00C2628B">
        <w:t xml:space="preserve"> initiatives are reviewed termly with a final audit at the end of the academic year.</w:t>
      </w:r>
    </w:p>
    <w:p w:rsidR="00095B05" w:rsidRDefault="00095B05">
      <w:pPr>
        <w:spacing w:after="160" w:line="259" w:lineRule="auto"/>
      </w:pPr>
      <w:r>
        <w:t xml:space="preserve">Impact of strategies please </w:t>
      </w:r>
      <w:r w:rsidR="00500816">
        <w:t>see Key for PPF interventions.</w:t>
      </w:r>
    </w:p>
    <w:p w:rsidR="0015685E" w:rsidRDefault="0015685E">
      <w:pPr>
        <w:spacing w:after="160" w:line="259" w:lineRule="auto"/>
      </w:pPr>
      <w:r>
        <w:t xml:space="preserve">Subjects complete analysis against pupils and their expected pathways at the end of each academic year; each pupil is identified as being either below their expected pathway, making their expected pathway or above their expected pathway.  This analysis helps the departments to identify pupils that need new strategies or interventions as well as identify gifted and talented pupils.  The analysis helps department to plan curriculums and lessons appropriate for the pupils they are teaching.  </w:t>
      </w:r>
    </w:p>
    <w:p w:rsidR="00F60041" w:rsidRDefault="0015685E">
      <w:pPr>
        <w:spacing w:after="160" w:line="259" w:lineRule="auto"/>
      </w:pPr>
      <w:r>
        <w:t>Analysis of data for thi</w:t>
      </w:r>
      <w:r w:rsidR="00775513">
        <w:t>s academic year please see following tables</w:t>
      </w:r>
      <w:r>
        <w:t>:</w:t>
      </w: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English</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2E3A92" w:rsidP="0012536A">
            <w:pPr>
              <w:jc w:val="center"/>
              <w:rPr>
                <w:rFonts w:ascii="Calibri" w:hAnsi="Calibri"/>
              </w:rPr>
            </w:pPr>
            <w:r>
              <w:rPr>
                <w:rFonts w:ascii="Calibri" w:hAnsi="Calibri"/>
              </w:rPr>
              <w:t>4</w:t>
            </w:r>
          </w:p>
        </w:tc>
        <w:tc>
          <w:tcPr>
            <w:tcW w:w="2311" w:type="dxa"/>
            <w:vAlign w:val="center"/>
          </w:tcPr>
          <w:p w:rsidR="0015685E" w:rsidRPr="00B73D67" w:rsidRDefault="002E3A92" w:rsidP="0012536A">
            <w:pPr>
              <w:jc w:val="center"/>
              <w:rPr>
                <w:rFonts w:ascii="Calibri" w:hAnsi="Calibri"/>
              </w:rPr>
            </w:pPr>
            <w:r>
              <w:rPr>
                <w:rFonts w:ascii="Calibri" w:hAnsi="Calibri"/>
              </w:rPr>
              <w:t>45</w:t>
            </w:r>
          </w:p>
        </w:tc>
        <w:tc>
          <w:tcPr>
            <w:tcW w:w="2311" w:type="dxa"/>
            <w:vAlign w:val="center"/>
          </w:tcPr>
          <w:p w:rsidR="0015685E" w:rsidRPr="00B73D67" w:rsidRDefault="002E3A92" w:rsidP="0012536A">
            <w:pPr>
              <w:jc w:val="center"/>
              <w:rPr>
                <w:rFonts w:ascii="Calibri" w:hAnsi="Calibri"/>
              </w:rPr>
            </w:pPr>
            <w:r>
              <w:rPr>
                <w:rFonts w:ascii="Calibri" w:hAnsi="Calibri"/>
              </w:rPr>
              <w:t>6</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775513" w:rsidP="0012536A">
            <w:pPr>
              <w:jc w:val="center"/>
              <w:rPr>
                <w:rFonts w:ascii="Calibri" w:hAnsi="Calibri"/>
              </w:rPr>
            </w:pPr>
            <w:r>
              <w:rPr>
                <w:rFonts w:ascii="Calibri" w:hAnsi="Calibri"/>
              </w:rPr>
              <w:t>1</w:t>
            </w:r>
          </w:p>
        </w:tc>
        <w:tc>
          <w:tcPr>
            <w:tcW w:w="2311" w:type="dxa"/>
            <w:vAlign w:val="center"/>
          </w:tcPr>
          <w:p w:rsidR="0015685E" w:rsidRPr="00B73D67" w:rsidRDefault="002E3A92" w:rsidP="0012536A">
            <w:pPr>
              <w:jc w:val="center"/>
              <w:rPr>
                <w:rFonts w:ascii="Calibri" w:hAnsi="Calibri"/>
              </w:rPr>
            </w:pPr>
            <w:r>
              <w:rPr>
                <w:rFonts w:ascii="Calibri" w:hAnsi="Calibri"/>
              </w:rPr>
              <w:t>74</w:t>
            </w:r>
          </w:p>
        </w:tc>
        <w:tc>
          <w:tcPr>
            <w:tcW w:w="2311" w:type="dxa"/>
            <w:vAlign w:val="center"/>
          </w:tcPr>
          <w:p w:rsidR="0015685E" w:rsidRPr="00B73D67" w:rsidRDefault="002E3A92" w:rsidP="0012536A">
            <w:pPr>
              <w:jc w:val="center"/>
              <w:rPr>
                <w:rFonts w:ascii="Calibri" w:hAnsi="Calibri"/>
              </w:rPr>
            </w:pPr>
            <w:r>
              <w:rPr>
                <w:rFonts w:ascii="Calibri" w:hAnsi="Calibri"/>
              </w:rPr>
              <w:t>7</w:t>
            </w:r>
          </w:p>
        </w:tc>
      </w:tr>
    </w:tbl>
    <w:p w:rsidR="0015685E" w:rsidRDefault="0015685E">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Maths</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53</w:t>
            </w:r>
          </w:p>
        </w:tc>
        <w:tc>
          <w:tcPr>
            <w:tcW w:w="2311" w:type="dxa"/>
            <w:vAlign w:val="center"/>
          </w:tcPr>
          <w:p w:rsidR="0015685E" w:rsidRPr="00B73D67" w:rsidRDefault="002E3A92" w:rsidP="0012536A">
            <w:pPr>
              <w:jc w:val="center"/>
              <w:rPr>
                <w:rFonts w:ascii="Calibri" w:hAnsi="Calibri"/>
              </w:rPr>
            </w:pPr>
            <w:r>
              <w:rPr>
                <w:rFonts w:ascii="Calibri" w:hAnsi="Calibri"/>
              </w:rPr>
              <w:t>2</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74</w:t>
            </w:r>
          </w:p>
        </w:tc>
        <w:tc>
          <w:tcPr>
            <w:tcW w:w="2311" w:type="dxa"/>
            <w:vAlign w:val="center"/>
          </w:tcPr>
          <w:p w:rsidR="0015685E" w:rsidRPr="00B73D67" w:rsidRDefault="002E3A92" w:rsidP="0012536A">
            <w:pPr>
              <w:jc w:val="center"/>
              <w:rPr>
                <w:rFonts w:ascii="Calibri" w:hAnsi="Calibri"/>
              </w:rPr>
            </w:pPr>
            <w:r>
              <w:rPr>
                <w:rFonts w:ascii="Calibri" w:hAnsi="Calibri"/>
              </w:rPr>
              <w:t>8</w:t>
            </w:r>
          </w:p>
        </w:tc>
      </w:tr>
    </w:tbl>
    <w:p w:rsidR="0015685E" w:rsidRDefault="0015685E">
      <w:pPr>
        <w:spacing w:after="160" w:line="259" w:lineRule="auto"/>
      </w:pPr>
    </w:p>
    <w:p w:rsidR="00514217" w:rsidRDefault="00514217">
      <w:pPr>
        <w:spacing w:after="160" w:line="259" w:lineRule="auto"/>
      </w:pPr>
    </w:p>
    <w:p w:rsidR="00514217" w:rsidRDefault="00514217">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Science</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49</w:t>
            </w:r>
          </w:p>
        </w:tc>
        <w:tc>
          <w:tcPr>
            <w:tcW w:w="2311" w:type="dxa"/>
            <w:vAlign w:val="center"/>
          </w:tcPr>
          <w:p w:rsidR="0015685E" w:rsidRPr="00B73D67" w:rsidRDefault="002E3A92" w:rsidP="0012536A">
            <w:pPr>
              <w:jc w:val="center"/>
              <w:rPr>
                <w:rFonts w:ascii="Calibri" w:hAnsi="Calibri"/>
              </w:rPr>
            </w:pPr>
            <w:r>
              <w:rPr>
                <w:rFonts w:ascii="Calibri" w:hAnsi="Calibri"/>
              </w:rPr>
              <w:t>6</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775513" w:rsidP="0012536A">
            <w:pPr>
              <w:jc w:val="center"/>
              <w:rPr>
                <w:rFonts w:ascii="Calibri" w:hAnsi="Calibri"/>
              </w:rPr>
            </w:pPr>
            <w:r>
              <w:rPr>
                <w:rFonts w:ascii="Calibri" w:hAnsi="Calibri"/>
              </w:rPr>
              <w:t>0</w:t>
            </w:r>
          </w:p>
        </w:tc>
        <w:tc>
          <w:tcPr>
            <w:tcW w:w="2311" w:type="dxa"/>
            <w:vAlign w:val="center"/>
          </w:tcPr>
          <w:p w:rsidR="0015685E" w:rsidRPr="00B73D67" w:rsidRDefault="002E3A92" w:rsidP="0012536A">
            <w:pPr>
              <w:jc w:val="center"/>
              <w:rPr>
                <w:rFonts w:ascii="Calibri" w:hAnsi="Calibri"/>
              </w:rPr>
            </w:pPr>
            <w:r>
              <w:rPr>
                <w:rFonts w:ascii="Calibri" w:hAnsi="Calibri"/>
              </w:rPr>
              <w:t>76</w:t>
            </w:r>
          </w:p>
        </w:tc>
        <w:tc>
          <w:tcPr>
            <w:tcW w:w="2311" w:type="dxa"/>
            <w:vAlign w:val="center"/>
          </w:tcPr>
          <w:p w:rsidR="0015685E" w:rsidRPr="00B73D67" w:rsidRDefault="002E3A92" w:rsidP="0012536A">
            <w:pPr>
              <w:jc w:val="center"/>
              <w:rPr>
                <w:rFonts w:ascii="Calibri" w:hAnsi="Calibri"/>
              </w:rPr>
            </w:pPr>
            <w:r>
              <w:rPr>
                <w:rFonts w:ascii="Calibri" w:hAnsi="Calibri"/>
              </w:rPr>
              <w:t>6</w:t>
            </w:r>
          </w:p>
        </w:tc>
      </w:tr>
    </w:tbl>
    <w:p w:rsidR="0015685E" w:rsidRDefault="0015685E">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15685E" w:rsidTr="0012536A">
        <w:tc>
          <w:tcPr>
            <w:tcW w:w="2310" w:type="dxa"/>
          </w:tcPr>
          <w:p w:rsidR="0015685E" w:rsidRDefault="002E3A92" w:rsidP="0012536A">
            <w:pPr>
              <w:jc w:val="center"/>
            </w:pPr>
            <w:r>
              <w:t>ICT</w:t>
            </w:r>
          </w:p>
        </w:tc>
        <w:tc>
          <w:tcPr>
            <w:tcW w:w="2310" w:type="dxa"/>
          </w:tcPr>
          <w:p w:rsidR="0015685E" w:rsidRDefault="0015685E" w:rsidP="0012536A">
            <w:pPr>
              <w:jc w:val="center"/>
            </w:pPr>
            <w:r>
              <w:t>Above expected pathway</w:t>
            </w:r>
          </w:p>
        </w:tc>
        <w:tc>
          <w:tcPr>
            <w:tcW w:w="2311" w:type="dxa"/>
          </w:tcPr>
          <w:p w:rsidR="0015685E" w:rsidRDefault="0015685E" w:rsidP="0012536A">
            <w:pPr>
              <w:jc w:val="center"/>
            </w:pPr>
            <w:r>
              <w:t>Making expected pathway</w:t>
            </w:r>
          </w:p>
        </w:tc>
        <w:tc>
          <w:tcPr>
            <w:tcW w:w="2311" w:type="dxa"/>
          </w:tcPr>
          <w:p w:rsidR="0015685E" w:rsidRDefault="0015685E" w:rsidP="0012536A">
            <w:pPr>
              <w:jc w:val="center"/>
            </w:pPr>
            <w:r>
              <w:t>Below expected pathway</w:t>
            </w:r>
          </w:p>
        </w:tc>
      </w:tr>
      <w:tr w:rsidR="0015685E" w:rsidTr="0012536A">
        <w:tc>
          <w:tcPr>
            <w:tcW w:w="2310" w:type="dxa"/>
          </w:tcPr>
          <w:p w:rsidR="0015685E" w:rsidRDefault="0015685E" w:rsidP="0012536A">
            <w:pPr>
              <w:jc w:val="center"/>
            </w:pPr>
            <w:r>
              <w:t>PPF students</w:t>
            </w:r>
          </w:p>
        </w:tc>
        <w:tc>
          <w:tcPr>
            <w:tcW w:w="2310" w:type="dxa"/>
            <w:vAlign w:val="center"/>
          </w:tcPr>
          <w:p w:rsidR="0015685E" w:rsidRPr="00B73D67" w:rsidRDefault="002E3A92" w:rsidP="0012536A">
            <w:pPr>
              <w:jc w:val="center"/>
              <w:rPr>
                <w:rFonts w:ascii="Calibri" w:hAnsi="Calibri"/>
              </w:rPr>
            </w:pPr>
            <w:r>
              <w:rPr>
                <w:rFonts w:ascii="Calibri" w:hAnsi="Calibri"/>
              </w:rPr>
              <w:t>10</w:t>
            </w:r>
          </w:p>
        </w:tc>
        <w:tc>
          <w:tcPr>
            <w:tcW w:w="2311" w:type="dxa"/>
            <w:vAlign w:val="center"/>
          </w:tcPr>
          <w:p w:rsidR="0015685E" w:rsidRPr="00B73D67" w:rsidRDefault="002E3A92" w:rsidP="0012536A">
            <w:pPr>
              <w:jc w:val="center"/>
              <w:rPr>
                <w:rFonts w:ascii="Calibri" w:hAnsi="Calibri"/>
              </w:rPr>
            </w:pPr>
            <w:r>
              <w:rPr>
                <w:rFonts w:ascii="Calibri" w:hAnsi="Calibri"/>
              </w:rPr>
              <w:t>30</w:t>
            </w:r>
          </w:p>
        </w:tc>
        <w:tc>
          <w:tcPr>
            <w:tcW w:w="2311" w:type="dxa"/>
            <w:vAlign w:val="center"/>
          </w:tcPr>
          <w:p w:rsidR="0015685E" w:rsidRPr="00B73D67" w:rsidRDefault="002E3A92" w:rsidP="0012536A">
            <w:pPr>
              <w:jc w:val="center"/>
              <w:rPr>
                <w:rFonts w:ascii="Calibri" w:hAnsi="Calibri"/>
              </w:rPr>
            </w:pPr>
            <w:r>
              <w:rPr>
                <w:rFonts w:ascii="Calibri" w:hAnsi="Calibri"/>
              </w:rPr>
              <w:t>8</w:t>
            </w:r>
          </w:p>
        </w:tc>
      </w:tr>
      <w:tr w:rsidR="0015685E" w:rsidTr="0012536A">
        <w:tc>
          <w:tcPr>
            <w:tcW w:w="2310" w:type="dxa"/>
          </w:tcPr>
          <w:p w:rsidR="0015685E" w:rsidRDefault="0015685E" w:rsidP="0012536A">
            <w:pPr>
              <w:jc w:val="center"/>
            </w:pPr>
            <w:r>
              <w:t>Non-PPF students</w:t>
            </w:r>
          </w:p>
        </w:tc>
        <w:tc>
          <w:tcPr>
            <w:tcW w:w="2310" w:type="dxa"/>
            <w:vAlign w:val="center"/>
          </w:tcPr>
          <w:p w:rsidR="0015685E" w:rsidRPr="00B73D67" w:rsidRDefault="002E3A92" w:rsidP="0012536A">
            <w:pPr>
              <w:jc w:val="center"/>
              <w:rPr>
                <w:rFonts w:ascii="Calibri" w:hAnsi="Calibri"/>
              </w:rPr>
            </w:pPr>
            <w:r>
              <w:rPr>
                <w:rFonts w:ascii="Calibri" w:hAnsi="Calibri"/>
              </w:rPr>
              <w:t>15</w:t>
            </w:r>
          </w:p>
        </w:tc>
        <w:tc>
          <w:tcPr>
            <w:tcW w:w="2311" w:type="dxa"/>
            <w:vAlign w:val="center"/>
          </w:tcPr>
          <w:p w:rsidR="0015685E" w:rsidRPr="00B73D67" w:rsidRDefault="002E3A92" w:rsidP="0012536A">
            <w:pPr>
              <w:jc w:val="center"/>
              <w:rPr>
                <w:rFonts w:ascii="Calibri" w:hAnsi="Calibri"/>
              </w:rPr>
            </w:pPr>
            <w:r>
              <w:rPr>
                <w:rFonts w:ascii="Calibri" w:hAnsi="Calibri"/>
              </w:rPr>
              <w:t>46</w:t>
            </w:r>
          </w:p>
        </w:tc>
        <w:tc>
          <w:tcPr>
            <w:tcW w:w="2311" w:type="dxa"/>
            <w:vAlign w:val="center"/>
          </w:tcPr>
          <w:p w:rsidR="0015685E" w:rsidRPr="00B73D67" w:rsidRDefault="002E3A92" w:rsidP="0012536A">
            <w:pPr>
              <w:jc w:val="center"/>
              <w:rPr>
                <w:rFonts w:ascii="Calibri" w:hAnsi="Calibri"/>
              </w:rPr>
            </w:pPr>
            <w:r>
              <w:rPr>
                <w:rFonts w:ascii="Calibri" w:hAnsi="Calibri"/>
              </w:rPr>
              <w:t>10</w:t>
            </w:r>
          </w:p>
        </w:tc>
      </w:tr>
    </w:tbl>
    <w:p w:rsidR="0015685E" w:rsidRDefault="0015685E">
      <w:pPr>
        <w:spacing w:after="160" w:line="259" w:lineRule="auto"/>
      </w:pPr>
    </w:p>
    <w:p w:rsidR="000C20DD" w:rsidRDefault="000C20DD">
      <w:pPr>
        <w:spacing w:after="160" w:line="259" w:lineRule="auto"/>
      </w:pPr>
    </w:p>
    <w:sectPr w:rsidR="000C20DD"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9965CE">
          <w:rPr>
            <w:noProof/>
          </w:rPr>
          <w:t>2</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68B7"/>
    <w:rsid w:val="00023C15"/>
    <w:rsid w:val="000907F8"/>
    <w:rsid w:val="00095B05"/>
    <w:rsid w:val="000A01B2"/>
    <w:rsid w:val="000B32D7"/>
    <w:rsid w:val="000C20DD"/>
    <w:rsid w:val="00101F1F"/>
    <w:rsid w:val="00107A1F"/>
    <w:rsid w:val="0015685E"/>
    <w:rsid w:val="0015703D"/>
    <w:rsid w:val="00174AE6"/>
    <w:rsid w:val="002017E7"/>
    <w:rsid w:val="00204666"/>
    <w:rsid w:val="00212958"/>
    <w:rsid w:val="00264499"/>
    <w:rsid w:val="002A3B33"/>
    <w:rsid w:val="002E3A92"/>
    <w:rsid w:val="00301CB8"/>
    <w:rsid w:val="003123FA"/>
    <w:rsid w:val="00343F38"/>
    <w:rsid w:val="0034438F"/>
    <w:rsid w:val="003F2BE2"/>
    <w:rsid w:val="0041010C"/>
    <w:rsid w:val="00425AFC"/>
    <w:rsid w:val="0043040D"/>
    <w:rsid w:val="00433EEA"/>
    <w:rsid w:val="0047210E"/>
    <w:rsid w:val="004C4D7A"/>
    <w:rsid w:val="004D183A"/>
    <w:rsid w:val="004E6A61"/>
    <w:rsid w:val="004F28D5"/>
    <w:rsid w:val="004F706F"/>
    <w:rsid w:val="00500816"/>
    <w:rsid w:val="00503F7C"/>
    <w:rsid w:val="005072A1"/>
    <w:rsid w:val="00514217"/>
    <w:rsid w:val="0052080E"/>
    <w:rsid w:val="00523364"/>
    <w:rsid w:val="0056444B"/>
    <w:rsid w:val="005E04CD"/>
    <w:rsid w:val="00614194"/>
    <w:rsid w:val="006830DD"/>
    <w:rsid w:val="00690263"/>
    <w:rsid w:val="006B30AF"/>
    <w:rsid w:val="006B7316"/>
    <w:rsid w:val="006D5318"/>
    <w:rsid w:val="006E0275"/>
    <w:rsid w:val="0070102B"/>
    <w:rsid w:val="00706183"/>
    <w:rsid w:val="00707293"/>
    <w:rsid w:val="00725C2A"/>
    <w:rsid w:val="00753EBC"/>
    <w:rsid w:val="00753F61"/>
    <w:rsid w:val="00775513"/>
    <w:rsid w:val="00783F68"/>
    <w:rsid w:val="00792B72"/>
    <w:rsid w:val="007A4F00"/>
    <w:rsid w:val="007D2E73"/>
    <w:rsid w:val="007F651B"/>
    <w:rsid w:val="00864D9D"/>
    <w:rsid w:val="008D24F0"/>
    <w:rsid w:val="0093689A"/>
    <w:rsid w:val="009404D1"/>
    <w:rsid w:val="009646D3"/>
    <w:rsid w:val="009706F7"/>
    <w:rsid w:val="00970BBF"/>
    <w:rsid w:val="00995C26"/>
    <w:rsid w:val="009965CE"/>
    <w:rsid w:val="009B7DFB"/>
    <w:rsid w:val="009D4457"/>
    <w:rsid w:val="00A145D4"/>
    <w:rsid w:val="00A5759D"/>
    <w:rsid w:val="00B02AF6"/>
    <w:rsid w:val="00B11214"/>
    <w:rsid w:val="00B34806"/>
    <w:rsid w:val="00B4158C"/>
    <w:rsid w:val="00B47346"/>
    <w:rsid w:val="00B53526"/>
    <w:rsid w:val="00B77DC8"/>
    <w:rsid w:val="00B95CCF"/>
    <w:rsid w:val="00BC1377"/>
    <w:rsid w:val="00BD3C80"/>
    <w:rsid w:val="00C07ACC"/>
    <w:rsid w:val="00C07C6D"/>
    <w:rsid w:val="00C2628B"/>
    <w:rsid w:val="00C4770A"/>
    <w:rsid w:val="00C5362F"/>
    <w:rsid w:val="00C74FBE"/>
    <w:rsid w:val="00C75C1C"/>
    <w:rsid w:val="00C94A8B"/>
    <w:rsid w:val="00CC51B2"/>
    <w:rsid w:val="00CD5677"/>
    <w:rsid w:val="00CD7D7E"/>
    <w:rsid w:val="00CE73D5"/>
    <w:rsid w:val="00CF34A8"/>
    <w:rsid w:val="00D221D7"/>
    <w:rsid w:val="00D2465C"/>
    <w:rsid w:val="00D7671E"/>
    <w:rsid w:val="00DB13D6"/>
    <w:rsid w:val="00DB2E87"/>
    <w:rsid w:val="00DB4FF2"/>
    <w:rsid w:val="00DC6E55"/>
    <w:rsid w:val="00E0449B"/>
    <w:rsid w:val="00E14AAD"/>
    <w:rsid w:val="00E51C1F"/>
    <w:rsid w:val="00E530EF"/>
    <w:rsid w:val="00E92A0F"/>
    <w:rsid w:val="00E95D7F"/>
    <w:rsid w:val="00EB3B98"/>
    <w:rsid w:val="00F12C33"/>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C57FE9D-5702-4217-8BA1-65C937D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CF25-5961-40F7-91CF-33E8FD1F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Nichola Andreou</cp:lastModifiedBy>
  <cp:revision>2</cp:revision>
  <cp:lastPrinted>2018-11-06T16:01:00Z</cp:lastPrinted>
  <dcterms:created xsi:type="dcterms:W3CDTF">2019-10-02T10:54:00Z</dcterms:created>
  <dcterms:modified xsi:type="dcterms:W3CDTF">2019-10-02T10:54:00Z</dcterms:modified>
</cp:coreProperties>
</file>